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69" w:rsidRPr="0006635C" w:rsidRDefault="00B56B69" w:rsidP="00D2209C">
      <w:pPr>
        <w:pStyle w:val="ConsPlusNormal"/>
        <w:spacing w:line="300" w:lineRule="atLeast"/>
        <w:jc w:val="center"/>
        <w:rPr>
          <w:b/>
          <w:sz w:val="22"/>
          <w:szCs w:val="22"/>
        </w:rPr>
      </w:pPr>
      <w:r w:rsidRPr="0006635C">
        <w:rPr>
          <w:b/>
          <w:sz w:val="22"/>
          <w:szCs w:val="22"/>
        </w:rPr>
        <w:t xml:space="preserve">Разъяснение </w:t>
      </w:r>
    </w:p>
    <w:p w:rsidR="00B56B69" w:rsidRPr="0006635C" w:rsidRDefault="00B56B69" w:rsidP="00D2209C">
      <w:pPr>
        <w:pStyle w:val="ConsPlusNormal"/>
        <w:spacing w:line="300" w:lineRule="atLeast"/>
        <w:jc w:val="center"/>
        <w:rPr>
          <w:b/>
          <w:sz w:val="22"/>
          <w:szCs w:val="22"/>
        </w:rPr>
      </w:pPr>
      <w:r w:rsidRPr="0006635C">
        <w:rPr>
          <w:b/>
          <w:sz w:val="22"/>
          <w:szCs w:val="22"/>
        </w:rPr>
        <w:t xml:space="preserve">(постатейный комментарий) о сроках прохождения процедуры подтверждения компетентности аккредитованными лицами </w:t>
      </w:r>
    </w:p>
    <w:p w:rsidR="00B56B69" w:rsidRPr="0006635C" w:rsidRDefault="00B56B69" w:rsidP="00D2209C">
      <w:pPr>
        <w:pStyle w:val="ConsPlusNormal"/>
        <w:spacing w:line="300" w:lineRule="atLeast"/>
        <w:jc w:val="center"/>
        <w:rPr>
          <w:b/>
          <w:sz w:val="22"/>
          <w:szCs w:val="22"/>
        </w:rPr>
      </w:pPr>
      <w:r w:rsidRPr="0006635C">
        <w:rPr>
          <w:b/>
          <w:sz w:val="22"/>
          <w:szCs w:val="22"/>
        </w:rPr>
        <w:t xml:space="preserve">согласно положениям Федерального закона от 28.12.2013 № 412-ФЗ </w:t>
      </w:r>
    </w:p>
    <w:p w:rsidR="00B56B69" w:rsidRPr="0006635C" w:rsidRDefault="00B56B69" w:rsidP="00D2209C">
      <w:pPr>
        <w:pStyle w:val="ConsPlusNormal"/>
        <w:spacing w:line="300" w:lineRule="atLeast"/>
        <w:jc w:val="center"/>
        <w:rPr>
          <w:b/>
          <w:sz w:val="22"/>
          <w:szCs w:val="22"/>
        </w:rPr>
      </w:pPr>
      <w:r w:rsidRPr="0006635C">
        <w:rPr>
          <w:b/>
          <w:sz w:val="22"/>
          <w:szCs w:val="22"/>
        </w:rPr>
        <w:t>«Об аккредитации в национальной системе аккредитации»</w:t>
      </w:r>
    </w:p>
    <w:p w:rsidR="00B56B69" w:rsidRPr="00D2209C" w:rsidRDefault="00B56B69" w:rsidP="00D2209C">
      <w:pPr>
        <w:pStyle w:val="ConsPlusNormal"/>
        <w:spacing w:before="240" w:after="240" w:line="360" w:lineRule="auto"/>
        <w:jc w:val="center"/>
        <w:rPr>
          <w:sz w:val="22"/>
          <w:szCs w:val="22"/>
        </w:rPr>
      </w:pPr>
    </w:p>
    <w:p w:rsidR="00B56B69" w:rsidRPr="0006635C" w:rsidRDefault="00B56B69" w:rsidP="0006635C">
      <w:pPr>
        <w:spacing w:line="300" w:lineRule="atLeast"/>
        <w:ind w:firstLine="340"/>
        <w:jc w:val="both"/>
        <w:outlineLvl w:val="0"/>
        <w:rPr>
          <w:rFonts w:ascii="Arial" w:hAnsi="Arial" w:cs="Arial"/>
          <w:sz w:val="22"/>
          <w:szCs w:val="22"/>
        </w:rPr>
      </w:pPr>
      <w:r w:rsidRPr="0006635C">
        <w:rPr>
          <w:rFonts w:ascii="Arial" w:hAnsi="Arial" w:cs="Arial"/>
          <w:b/>
          <w:sz w:val="22"/>
          <w:szCs w:val="22"/>
        </w:rPr>
        <w:t>Статья 19.</w:t>
      </w:r>
      <w:r w:rsidRPr="0006635C">
        <w:rPr>
          <w:rFonts w:ascii="Arial" w:hAnsi="Arial" w:cs="Arial"/>
          <w:sz w:val="22"/>
          <w:szCs w:val="22"/>
        </w:rPr>
        <w:t xml:space="preserve"> Требования к содержанию и сроку действия аттестата аккредитации</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b/>
          <w:sz w:val="22"/>
          <w:szCs w:val="22"/>
        </w:rPr>
        <w:t>Часть 4</w:t>
      </w:r>
      <w:r w:rsidRPr="0006635C">
        <w:rPr>
          <w:rFonts w:ascii="Arial" w:hAnsi="Arial" w:cs="Arial"/>
          <w:sz w:val="22"/>
          <w:szCs w:val="22"/>
        </w:rPr>
        <w:t>. Аттестат аккредитации является бессрочным.</w:t>
      </w:r>
    </w:p>
    <w:p w:rsidR="00B56B69" w:rsidRPr="0006635C" w:rsidRDefault="00B56B69" w:rsidP="0006635C">
      <w:pPr>
        <w:spacing w:line="300" w:lineRule="atLeast"/>
        <w:ind w:firstLine="340"/>
        <w:jc w:val="both"/>
        <w:rPr>
          <w:rFonts w:ascii="Arial" w:hAnsi="Arial" w:cs="Arial"/>
          <w:sz w:val="22"/>
          <w:szCs w:val="22"/>
        </w:rPr>
      </w:pPr>
    </w:p>
    <w:p w:rsidR="00B56B69" w:rsidRPr="0006635C" w:rsidRDefault="00B56B69" w:rsidP="0006635C">
      <w:pPr>
        <w:pStyle w:val="ConsPlusNormal"/>
        <w:spacing w:line="300" w:lineRule="atLeast"/>
        <w:ind w:firstLine="340"/>
        <w:jc w:val="both"/>
        <w:rPr>
          <w:sz w:val="22"/>
          <w:szCs w:val="22"/>
        </w:rPr>
      </w:pPr>
      <w:r w:rsidRPr="0006635C">
        <w:rPr>
          <w:sz w:val="22"/>
          <w:szCs w:val="22"/>
        </w:rPr>
        <w:t>Согласно данному положению, аттестат аккредитации юридического лица или индивидуального предпринимателя, аккредитованного в национальной системе аккредитации после 01.07.2014, является бессрочным.</w:t>
      </w:r>
    </w:p>
    <w:p w:rsidR="00B56B69" w:rsidRPr="0006635C" w:rsidRDefault="00B56B69" w:rsidP="0006635C">
      <w:pPr>
        <w:pStyle w:val="ConsPlusNormal"/>
        <w:spacing w:line="300" w:lineRule="atLeast"/>
        <w:ind w:firstLine="340"/>
        <w:jc w:val="both"/>
        <w:rPr>
          <w:sz w:val="22"/>
          <w:szCs w:val="22"/>
        </w:rPr>
      </w:pPr>
      <w:r w:rsidRPr="0006635C">
        <w:rPr>
          <w:sz w:val="22"/>
          <w:szCs w:val="22"/>
        </w:rPr>
        <w:t>Аттестат аккредитации (иной документ об аккредитации), выданный ранее 01.07.2014, действует до окончания указанного в аттестате срока (часть 1 статьи 30 Федерального закона от 28.12.2013 № 412-ФЗ «Об аккредитации в национальной системе аккредитации», далее – 412-ФЗ).</w:t>
      </w:r>
    </w:p>
    <w:p w:rsidR="00B56B69" w:rsidRPr="0006635C" w:rsidRDefault="00B56B69" w:rsidP="0006635C">
      <w:pPr>
        <w:pStyle w:val="ConsPlusNormal"/>
        <w:spacing w:line="300" w:lineRule="atLeast"/>
        <w:ind w:firstLine="340"/>
        <w:jc w:val="both"/>
        <w:rPr>
          <w:sz w:val="22"/>
          <w:szCs w:val="22"/>
        </w:rPr>
      </w:pPr>
      <w:r w:rsidRPr="0006635C">
        <w:rPr>
          <w:sz w:val="22"/>
          <w:szCs w:val="22"/>
        </w:rPr>
        <w:t>В случае прохождения процедуры подтверждения компетентности юридическими лицами и индивидуальными предпринимателями, имеющими документы об аккредитации, которые были выданы федеральными органами исполнительной власти до 01.07.2014, соответствующие сведения вносятся в реестр аккредитованных лиц, и аккредитованное лицо вправе обратиться с заявлением о получении бессрочного бумажного аттестата аккредитации.</w:t>
      </w:r>
    </w:p>
    <w:p w:rsidR="00B56B69" w:rsidRPr="0006635C" w:rsidRDefault="00B56B69" w:rsidP="0006635C">
      <w:pPr>
        <w:pStyle w:val="ConsPlusNormal"/>
        <w:spacing w:line="300" w:lineRule="atLeast"/>
        <w:ind w:firstLine="340"/>
        <w:jc w:val="both"/>
        <w:rPr>
          <w:sz w:val="22"/>
          <w:szCs w:val="22"/>
        </w:rPr>
      </w:pPr>
    </w:p>
    <w:p w:rsidR="00B56B69" w:rsidRPr="0006635C" w:rsidRDefault="00B56B69" w:rsidP="0006635C">
      <w:pPr>
        <w:pStyle w:val="ConsPlusNormal"/>
        <w:spacing w:line="300" w:lineRule="atLeast"/>
        <w:ind w:firstLine="340"/>
        <w:jc w:val="both"/>
        <w:outlineLvl w:val="0"/>
        <w:rPr>
          <w:sz w:val="22"/>
          <w:szCs w:val="22"/>
        </w:rPr>
      </w:pPr>
      <w:r w:rsidRPr="0006635C">
        <w:rPr>
          <w:b/>
          <w:sz w:val="22"/>
          <w:szCs w:val="22"/>
        </w:rPr>
        <w:t>Статья 30.</w:t>
      </w:r>
      <w:r w:rsidRPr="0006635C">
        <w:rPr>
          <w:sz w:val="22"/>
          <w:szCs w:val="22"/>
        </w:rPr>
        <w:t xml:space="preserve"> Переходные положения</w:t>
      </w:r>
    </w:p>
    <w:p w:rsidR="00B56B69" w:rsidRPr="0006635C" w:rsidRDefault="00B56B69" w:rsidP="0006635C">
      <w:pPr>
        <w:pStyle w:val="ConsPlusNormal"/>
        <w:spacing w:line="300" w:lineRule="atLeast"/>
        <w:ind w:firstLine="340"/>
        <w:jc w:val="both"/>
        <w:rPr>
          <w:sz w:val="22"/>
          <w:szCs w:val="22"/>
        </w:rPr>
      </w:pPr>
      <w:r w:rsidRPr="0006635C">
        <w:rPr>
          <w:b/>
          <w:sz w:val="22"/>
          <w:szCs w:val="22"/>
        </w:rPr>
        <w:t>Часть 1.</w:t>
      </w:r>
      <w:r w:rsidRPr="0006635C">
        <w:rPr>
          <w:sz w:val="22"/>
          <w:szCs w:val="22"/>
        </w:rPr>
        <w:t xml:space="preserve">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w:t>
      </w:r>
    </w:p>
    <w:p w:rsidR="00B56B69" w:rsidRPr="0006635C" w:rsidRDefault="00B56B69" w:rsidP="0006635C">
      <w:pPr>
        <w:pStyle w:val="ConsPlusNormal"/>
        <w:spacing w:line="300" w:lineRule="atLeast"/>
        <w:ind w:firstLine="340"/>
        <w:jc w:val="both"/>
        <w:rPr>
          <w:sz w:val="22"/>
          <w:szCs w:val="22"/>
        </w:rPr>
      </w:pPr>
    </w:p>
    <w:p w:rsidR="00B56B69" w:rsidRPr="0006635C" w:rsidRDefault="00B56B69" w:rsidP="0006635C">
      <w:pPr>
        <w:pStyle w:val="ConsPlusNormal"/>
        <w:spacing w:line="300" w:lineRule="atLeast"/>
        <w:ind w:firstLine="340"/>
        <w:jc w:val="both"/>
        <w:rPr>
          <w:sz w:val="22"/>
          <w:szCs w:val="22"/>
        </w:rPr>
      </w:pPr>
      <w:r w:rsidRPr="0006635C">
        <w:rPr>
          <w:sz w:val="22"/>
          <w:szCs w:val="22"/>
        </w:rPr>
        <w:t>Аттестат аккредитации (иной документ об аккредитации), выданный ранее 01.07.2014, действует до момента времени, указанного в аттестате аккредитации в качестве срока окончания действия этого аттестата, если аккредитованное лицо не прошло процедуру подтверждения компетентности в соответствии со статьей 30 412-ФЗ (если аккредитованное лицо прошло процедуру подтверждения компетентности, действие его аттестата аккредитации является бессрочным).</w:t>
      </w:r>
    </w:p>
    <w:p w:rsidR="00B56B69" w:rsidRPr="0006635C" w:rsidRDefault="00B56B69" w:rsidP="0006635C">
      <w:pPr>
        <w:pStyle w:val="ConsPlusNormal"/>
        <w:spacing w:line="300" w:lineRule="atLeast"/>
        <w:ind w:firstLine="340"/>
        <w:jc w:val="both"/>
        <w:rPr>
          <w:sz w:val="22"/>
          <w:szCs w:val="22"/>
        </w:rPr>
      </w:pPr>
      <w:r w:rsidRPr="0006635C">
        <w:rPr>
          <w:sz w:val="22"/>
          <w:szCs w:val="22"/>
        </w:rPr>
        <w:t>Датой аккредитации необходимо считать указанную в реестре аккредитованных лиц дату принятия решения (приказа Росаккредитации) об аккредитации юридического лица или индивидуального предпринимателя.</w:t>
      </w:r>
    </w:p>
    <w:p w:rsidR="00B56B69" w:rsidRPr="0006635C" w:rsidRDefault="00B56B69" w:rsidP="0006635C">
      <w:pPr>
        <w:pStyle w:val="ConsPlusNormal"/>
        <w:spacing w:line="300" w:lineRule="atLeast"/>
        <w:ind w:firstLine="340"/>
        <w:jc w:val="both"/>
        <w:rPr>
          <w:sz w:val="22"/>
          <w:szCs w:val="22"/>
        </w:rPr>
      </w:pPr>
      <w:r w:rsidRPr="0006635C">
        <w:rPr>
          <w:sz w:val="22"/>
          <w:szCs w:val="22"/>
        </w:rPr>
        <w:t>В случае отсутствия сведений об аккредитованном лице в реестре аккредитованных лиц и (или) отсутствия указания на дату принятия решения об аккредитации датой аккредитации необходимо считать дату, указанную в качестве даты аккредитации в аттестате аккредитации либо ином документе об аккредитации, либо, в случае отсутствия даты, указанной в качестве даты аккредитации, – дату выдачи документа об аккредитации.</w:t>
      </w:r>
    </w:p>
    <w:p w:rsidR="00B56B69" w:rsidRPr="0006635C" w:rsidRDefault="00B56B69" w:rsidP="0006635C">
      <w:pPr>
        <w:pStyle w:val="ConsPlusNormal"/>
        <w:spacing w:line="300" w:lineRule="atLeast"/>
        <w:ind w:firstLine="340"/>
        <w:jc w:val="both"/>
        <w:rPr>
          <w:sz w:val="22"/>
          <w:szCs w:val="22"/>
        </w:rPr>
      </w:pPr>
      <w:r w:rsidRPr="0006635C">
        <w:rPr>
          <w:sz w:val="22"/>
          <w:szCs w:val="22"/>
        </w:rPr>
        <w:t>В случае отсутствия сведений об аккредитованном лице в реестре аккредитованных лиц и (или) отсутствия указания на дату принятия решения об аккредитации, данные сведения следует восстановить. Для этого необходимо подать заявление на государственную услугу о внесении изменений в сведения об аккредитованном лице, содержащиеся в реестре аккредитованных лиц в соответствии со статьей 21 412-ФЗ.</w:t>
      </w:r>
    </w:p>
    <w:p w:rsidR="00B56B69" w:rsidRDefault="00B56B69" w:rsidP="0006635C">
      <w:pPr>
        <w:pStyle w:val="ConsPlusNormal"/>
        <w:spacing w:line="300" w:lineRule="atLeast"/>
        <w:ind w:firstLine="340"/>
        <w:jc w:val="both"/>
        <w:outlineLvl w:val="0"/>
        <w:rPr>
          <w:b/>
          <w:sz w:val="22"/>
          <w:szCs w:val="22"/>
        </w:rPr>
      </w:pPr>
    </w:p>
    <w:p w:rsidR="00B56B69" w:rsidRPr="0006635C" w:rsidRDefault="00B56B69" w:rsidP="0006635C">
      <w:pPr>
        <w:pStyle w:val="ConsPlusNormal"/>
        <w:spacing w:line="300" w:lineRule="atLeast"/>
        <w:ind w:firstLine="340"/>
        <w:jc w:val="both"/>
        <w:outlineLvl w:val="0"/>
        <w:rPr>
          <w:sz w:val="22"/>
          <w:szCs w:val="22"/>
        </w:rPr>
      </w:pPr>
      <w:r w:rsidRPr="0006635C">
        <w:rPr>
          <w:b/>
          <w:sz w:val="22"/>
          <w:szCs w:val="22"/>
        </w:rPr>
        <w:t>Статья 30.</w:t>
      </w:r>
      <w:r w:rsidRPr="0006635C">
        <w:rPr>
          <w:sz w:val="22"/>
          <w:szCs w:val="22"/>
        </w:rPr>
        <w:t xml:space="preserve"> Переходные положения</w:t>
      </w:r>
    </w:p>
    <w:p w:rsidR="00B56B69" w:rsidRPr="0006635C" w:rsidRDefault="00B56B69" w:rsidP="0006635C">
      <w:pPr>
        <w:pStyle w:val="ConsPlusNormal"/>
        <w:spacing w:line="300" w:lineRule="atLeast"/>
        <w:ind w:firstLine="340"/>
        <w:jc w:val="both"/>
        <w:rPr>
          <w:sz w:val="22"/>
          <w:szCs w:val="22"/>
        </w:rPr>
      </w:pPr>
      <w:r w:rsidRPr="0006635C">
        <w:rPr>
          <w:b/>
          <w:sz w:val="22"/>
          <w:szCs w:val="22"/>
        </w:rPr>
        <w:t>Часть 2.</w:t>
      </w:r>
      <w:r w:rsidRPr="0006635C">
        <w:rPr>
          <w:sz w:val="22"/>
          <w:szCs w:val="22"/>
        </w:rPr>
        <w:t xml:space="preserve">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(01.07.2014) и сроки действия которых заканчиваются соответственно в течение третьего (01.07.2016 – 30.06.2017) года и пятого (01.07.2018 – 30.06.2019)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(01.07.2014 – 30.06.2015)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ar11" w:history="1">
        <w:r w:rsidRPr="0006635C">
          <w:rPr>
            <w:sz w:val="22"/>
            <w:szCs w:val="22"/>
          </w:rPr>
          <w:t>части 3.1</w:t>
        </w:r>
      </w:hyperlink>
      <w:r w:rsidRPr="0006635C">
        <w:rPr>
          <w:sz w:val="22"/>
          <w:szCs w:val="22"/>
        </w:rPr>
        <w:t xml:space="preserve"> настоящей статьи.</w:t>
      </w:r>
    </w:p>
    <w:p w:rsidR="00B56B69" w:rsidRPr="0006635C" w:rsidRDefault="00B56B69" w:rsidP="0006635C">
      <w:pPr>
        <w:pStyle w:val="ConsPlusNormal"/>
        <w:spacing w:line="300" w:lineRule="atLeast"/>
        <w:ind w:firstLine="340"/>
        <w:jc w:val="both"/>
        <w:rPr>
          <w:sz w:val="22"/>
          <w:szCs w:val="22"/>
        </w:rPr>
      </w:pPr>
      <w:r w:rsidRPr="0006635C">
        <w:rPr>
          <w:b/>
          <w:sz w:val="22"/>
          <w:szCs w:val="22"/>
        </w:rPr>
        <w:t>Часть 3.1.</w:t>
      </w:r>
      <w:r w:rsidRPr="0006635C">
        <w:rPr>
          <w:sz w:val="22"/>
          <w:szCs w:val="22"/>
        </w:rPr>
        <w:t xml:space="preserve"> 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w:t>
      </w:r>
      <w:hyperlink r:id="rId6" w:history="1">
        <w:r w:rsidRPr="0006635C">
          <w:rPr>
            <w:sz w:val="22"/>
            <w:szCs w:val="22"/>
          </w:rPr>
          <w:t>законом</w:t>
        </w:r>
      </w:hyperlink>
      <w:r w:rsidRPr="0006635C">
        <w:rPr>
          <w:sz w:val="22"/>
          <w:szCs w:val="22"/>
        </w:rPr>
        <w:t xml:space="preserve"> от 27.12.2002 № 184-ФЗ «О техническом регулировании» в течение двух лет (01.07.2012 – 30.06.2014), предшествовавших дню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(01.07.2014 – 30.06.2015) года со дня вступления в силу настоящего Федерального закона.</w:t>
      </w:r>
    </w:p>
    <w:p w:rsidR="00B56B69" w:rsidRPr="0006635C" w:rsidRDefault="00B56B69" w:rsidP="0006635C">
      <w:pPr>
        <w:pStyle w:val="ConsPlusNormal"/>
        <w:spacing w:line="300" w:lineRule="atLeast"/>
        <w:ind w:firstLine="340"/>
        <w:jc w:val="both"/>
        <w:rPr>
          <w:sz w:val="22"/>
          <w:szCs w:val="22"/>
        </w:rPr>
      </w:pPr>
    </w:p>
    <w:p w:rsidR="00B56B69" w:rsidRPr="0006635C" w:rsidRDefault="00B56B69" w:rsidP="0006635C">
      <w:pPr>
        <w:pStyle w:val="ConsPlusNormal"/>
        <w:spacing w:line="300" w:lineRule="atLeast"/>
        <w:ind w:firstLine="340"/>
        <w:jc w:val="both"/>
        <w:rPr>
          <w:sz w:val="22"/>
          <w:szCs w:val="22"/>
        </w:rPr>
      </w:pPr>
      <w:r w:rsidRPr="0006635C">
        <w:rPr>
          <w:sz w:val="22"/>
          <w:szCs w:val="22"/>
        </w:rPr>
        <w:t xml:space="preserve">Юридические лица и индивидуальные предприниматели, получившие аттестат аккредитации (иной документ об аккредитации) ранее 01.07.2014, срок действия которого истекает в периоды 01.07.2016 – 30.06.2017 и 01.07.2018 – 30.06.2019, либо не проходившие процедуру подтверждения аттестатов аккредитации в соответствии с Федеральным </w:t>
      </w:r>
      <w:hyperlink r:id="rId7" w:history="1">
        <w:r w:rsidRPr="0006635C">
          <w:rPr>
            <w:sz w:val="22"/>
            <w:szCs w:val="22"/>
          </w:rPr>
          <w:t>законом</w:t>
        </w:r>
      </w:hyperlink>
      <w:r w:rsidRPr="0006635C">
        <w:rPr>
          <w:sz w:val="22"/>
          <w:szCs w:val="22"/>
        </w:rPr>
        <w:t xml:space="preserve"> от 27.12.2002 № 184-ФЗ «О техническом регулировании» (инспекционный контроль) в период 01.07.2012 – 30.06.2014, должны были пройти процедуру подтверждения компетентности аккредитованного лица (далее также – процедура ПК) в период 01.07.2014 – 30.06.2015, при этом заявление о проведении процедуры ПК должно было быть представлено не позднее, чем за 20 рабочих дней до истечения указанного периода, т.е. до 02.06.2015.</w:t>
      </w:r>
    </w:p>
    <w:p w:rsidR="00B56B69" w:rsidRPr="0006635C" w:rsidRDefault="00B56B69" w:rsidP="0006635C">
      <w:pPr>
        <w:pStyle w:val="ConsPlusNormal"/>
        <w:spacing w:line="300" w:lineRule="atLeast"/>
        <w:ind w:firstLine="340"/>
        <w:jc w:val="both"/>
        <w:rPr>
          <w:sz w:val="22"/>
          <w:szCs w:val="22"/>
        </w:rPr>
      </w:pPr>
      <w:r w:rsidRPr="0006635C">
        <w:rPr>
          <w:sz w:val="22"/>
          <w:szCs w:val="22"/>
        </w:rPr>
        <w:t xml:space="preserve">Процедура ПК в соответствии с частями 2 и 3.1 статьи 30 412-ФЗ осуществляется в форме документарной и выездной оценок, решение по итогам принимается в течение 90 рабочих дней со дня приема заявления. </w:t>
      </w:r>
    </w:p>
    <w:p w:rsidR="00B56B69" w:rsidRDefault="00B56B69" w:rsidP="0006635C">
      <w:pPr>
        <w:pStyle w:val="ConsPlusNormal"/>
        <w:spacing w:line="300" w:lineRule="atLeast"/>
        <w:ind w:firstLine="340"/>
        <w:jc w:val="both"/>
        <w:outlineLvl w:val="0"/>
        <w:rPr>
          <w:b/>
          <w:sz w:val="22"/>
          <w:szCs w:val="22"/>
        </w:rPr>
      </w:pPr>
    </w:p>
    <w:p w:rsidR="00B56B69" w:rsidRPr="0006635C" w:rsidRDefault="00B56B69" w:rsidP="0006635C">
      <w:pPr>
        <w:pStyle w:val="ConsPlusNormal"/>
        <w:spacing w:line="300" w:lineRule="atLeast"/>
        <w:ind w:firstLine="340"/>
        <w:jc w:val="both"/>
        <w:outlineLvl w:val="0"/>
        <w:rPr>
          <w:sz w:val="22"/>
          <w:szCs w:val="22"/>
        </w:rPr>
      </w:pPr>
      <w:r w:rsidRPr="0006635C">
        <w:rPr>
          <w:b/>
          <w:sz w:val="22"/>
          <w:szCs w:val="22"/>
        </w:rPr>
        <w:t>Статья 30.</w:t>
      </w:r>
      <w:r w:rsidRPr="0006635C">
        <w:rPr>
          <w:sz w:val="22"/>
          <w:szCs w:val="22"/>
        </w:rPr>
        <w:t xml:space="preserve"> Переходные положения</w:t>
      </w:r>
    </w:p>
    <w:p w:rsidR="00B56B69" w:rsidRPr="0006635C" w:rsidRDefault="00B56B69" w:rsidP="0006635C">
      <w:pPr>
        <w:pStyle w:val="ConsPlusNormal"/>
        <w:spacing w:line="300" w:lineRule="atLeast"/>
        <w:ind w:firstLine="340"/>
        <w:jc w:val="both"/>
        <w:outlineLvl w:val="0"/>
        <w:rPr>
          <w:sz w:val="22"/>
          <w:szCs w:val="22"/>
        </w:rPr>
      </w:pPr>
      <w:r w:rsidRPr="0006635C">
        <w:rPr>
          <w:b/>
          <w:sz w:val="22"/>
          <w:szCs w:val="22"/>
        </w:rPr>
        <w:t>Часть 3.</w:t>
      </w:r>
      <w:r w:rsidRPr="0006635C">
        <w:rPr>
          <w:sz w:val="22"/>
          <w:szCs w:val="22"/>
        </w:rPr>
        <w:t xml:space="preserve">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(01.07.2014) и срок действия которых заканчивается в течение четвертого (01.07.2017 – 30.06.2018)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второго (01.07.2015 – 30.06.2016)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ar11" w:history="1">
        <w:r w:rsidRPr="0006635C">
          <w:rPr>
            <w:sz w:val="22"/>
            <w:szCs w:val="22"/>
          </w:rPr>
          <w:t>части 3.1</w:t>
        </w:r>
      </w:hyperlink>
      <w:r w:rsidRPr="0006635C">
        <w:rPr>
          <w:sz w:val="22"/>
          <w:szCs w:val="22"/>
        </w:rPr>
        <w:t xml:space="preserve"> настоящей статьи.</w:t>
      </w:r>
    </w:p>
    <w:p w:rsidR="00B56B69" w:rsidRPr="0006635C" w:rsidRDefault="00B56B69" w:rsidP="0006635C">
      <w:pPr>
        <w:pStyle w:val="ConsPlusNormal"/>
        <w:spacing w:line="300" w:lineRule="atLeast"/>
        <w:ind w:firstLine="340"/>
        <w:jc w:val="both"/>
        <w:outlineLvl w:val="0"/>
        <w:rPr>
          <w:sz w:val="22"/>
          <w:szCs w:val="22"/>
        </w:rPr>
      </w:pPr>
    </w:p>
    <w:p w:rsidR="00B56B69" w:rsidRPr="0006635C" w:rsidRDefault="00B56B69" w:rsidP="0006635C">
      <w:pPr>
        <w:pStyle w:val="ConsPlusNormal"/>
        <w:spacing w:line="300" w:lineRule="atLeast"/>
        <w:ind w:firstLine="340"/>
        <w:jc w:val="both"/>
        <w:rPr>
          <w:sz w:val="22"/>
          <w:szCs w:val="22"/>
        </w:rPr>
      </w:pPr>
      <w:r w:rsidRPr="0006635C">
        <w:rPr>
          <w:sz w:val="22"/>
          <w:szCs w:val="22"/>
        </w:rPr>
        <w:t>Юридические лица и индивидуальные предприниматели, получившие аттестат аккредитации (иной документ об аккредитации) ранее 01.07.2014, срок действия которого истекает в период 01.07.2017 – 30.06.2018, должны пройти процедуру ПК в период 01.07.2015 – 30.06.2016, при этом заявление о проведении процедуры ПК должно быть подано не позднее, чем за 20 рабочих дней до истечения указанного периода, т.е. до 02.06.2016.</w:t>
      </w:r>
    </w:p>
    <w:p w:rsidR="00B56B69" w:rsidRPr="0006635C" w:rsidRDefault="00B56B69" w:rsidP="0006635C">
      <w:pPr>
        <w:pStyle w:val="ConsPlusNormal"/>
        <w:spacing w:line="300" w:lineRule="atLeast"/>
        <w:ind w:firstLine="340"/>
        <w:jc w:val="both"/>
        <w:rPr>
          <w:sz w:val="22"/>
          <w:szCs w:val="22"/>
        </w:rPr>
      </w:pPr>
      <w:r w:rsidRPr="0006635C">
        <w:rPr>
          <w:sz w:val="22"/>
          <w:szCs w:val="22"/>
        </w:rPr>
        <w:t>Процедура ПК осуществляется в форме документарной и выездной оценок, решение по итогам принимается в течение 90 рабочих дней со дня приема заявления.</w:t>
      </w:r>
    </w:p>
    <w:p w:rsidR="00B56B69" w:rsidRDefault="00B56B69" w:rsidP="0006635C">
      <w:pPr>
        <w:spacing w:line="300" w:lineRule="atLeast"/>
        <w:ind w:firstLine="340"/>
        <w:jc w:val="both"/>
        <w:outlineLvl w:val="0"/>
        <w:rPr>
          <w:rFonts w:ascii="Arial" w:hAnsi="Arial" w:cs="Arial"/>
          <w:b/>
          <w:sz w:val="22"/>
          <w:szCs w:val="22"/>
        </w:rPr>
      </w:pPr>
      <w:bookmarkStart w:id="0" w:name="Par11"/>
      <w:bookmarkEnd w:id="0"/>
    </w:p>
    <w:p w:rsidR="00B56B69" w:rsidRPr="0006635C" w:rsidRDefault="00B56B69" w:rsidP="0006635C">
      <w:pPr>
        <w:spacing w:line="300" w:lineRule="atLeast"/>
        <w:ind w:firstLine="340"/>
        <w:jc w:val="both"/>
        <w:outlineLvl w:val="0"/>
        <w:rPr>
          <w:rFonts w:ascii="Arial" w:hAnsi="Arial" w:cs="Arial"/>
          <w:sz w:val="22"/>
          <w:szCs w:val="22"/>
        </w:rPr>
      </w:pPr>
      <w:r w:rsidRPr="0006635C">
        <w:rPr>
          <w:rFonts w:ascii="Arial" w:hAnsi="Arial" w:cs="Arial"/>
          <w:b/>
          <w:sz w:val="22"/>
          <w:szCs w:val="22"/>
        </w:rPr>
        <w:t>Статья 22.</w:t>
      </w:r>
      <w:r w:rsidRPr="0006635C">
        <w:rPr>
          <w:rFonts w:ascii="Arial" w:hAnsi="Arial" w:cs="Arial"/>
          <w:sz w:val="22"/>
          <w:szCs w:val="22"/>
        </w:rPr>
        <w:t xml:space="preserve"> Порядок прекращения действия аккредитации</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b/>
          <w:sz w:val="22"/>
          <w:szCs w:val="22"/>
        </w:rPr>
        <w:t>Часть 1.</w:t>
      </w:r>
      <w:r w:rsidRPr="0006635C">
        <w:rPr>
          <w:rFonts w:ascii="Arial" w:hAnsi="Arial" w:cs="Arial"/>
          <w:sz w:val="22"/>
          <w:szCs w:val="22"/>
        </w:rPr>
        <w:t xml:space="preserve"> Действие аккредитации прекращается в следующих случаях:</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sz w:val="22"/>
          <w:szCs w:val="22"/>
        </w:rPr>
        <w:t xml:space="preserve">5) неустранение аккредитованным лицом, действие аккредитации которого приостановлено по основаниям, указанным в </w:t>
      </w:r>
      <w:hyperlink r:id="rId8" w:history="1">
        <w:r w:rsidRPr="0006635C">
          <w:rPr>
            <w:rFonts w:ascii="Arial" w:hAnsi="Arial" w:cs="Arial"/>
            <w:sz w:val="22"/>
            <w:szCs w:val="22"/>
          </w:rPr>
          <w:t>части 1 статьи 23</w:t>
        </w:r>
      </w:hyperlink>
      <w:r w:rsidRPr="0006635C">
        <w:rPr>
          <w:rFonts w:ascii="Arial" w:hAnsi="Arial" w:cs="Arial"/>
          <w:sz w:val="22"/>
          <w:szCs w:val="22"/>
        </w:rPr>
        <w:t xml:space="preserve"> настоящего Федерального закона, выявленного нарушения требований законодательства Российской Федерации к деятельности аккредитованных лиц.</w:t>
      </w:r>
    </w:p>
    <w:p w:rsidR="00B56B69" w:rsidRPr="0006635C" w:rsidRDefault="00B56B69" w:rsidP="0006635C">
      <w:pPr>
        <w:spacing w:line="300" w:lineRule="atLeast"/>
        <w:ind w:firstLine="340"/>
        <w:jc w:val="both"/>
        <w:outlineLvl w:val="0"/>
        <w:rPr>
          <w:rFonts w:ascii="Arial" w:hAnsi="Arial" w:cs="Arial"/>
          <w:sz w:val="22"/>
          <w:szCs w:val="22"/>
        </w:rPr>
      </w:pPr>
      <w:r w:rsidRPr="0006635C">
        <w:rPr>
          <w:rFonts w:ascii="Arial" w:hAnsi="Arial" w:cs="Arial"/>
          <w:b/>
          <w:sz w:val="22"/>
          <w:szCs w:val="22"/>
        </w:rPr>
        <w:t>Статья 23.</w:t>
      </w:r>
      <w:r w:rsidRPr="0006635C">
        <w:rPr>
          <w:rFonts w:ascii="Arial" w:hAnsi="Arial" w:cs="Arial"/>
          <w:sz w:val="22"/>
          <w:szCs w:val="22"/>
        </w:rPr>
        <w:t xml:space="preserve"> Порядок приостановления, возобновления действия аккредитации, порядок сокращения и расширения области аккредитации</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b/>
          <w:sz w:val="22"/>
          <w:szCs w:val="22"/>
        </w:rPr>
        <w:t>Часть 1.</w:t>
      </w:r>
      <w:r w:rsidRPr="0006635C">
        <w:rPr>
          <w:rFonts w:ascii="Arial" w:hAnsi="Arial" w:cs="Arial"/>
          <w:sz w:val="22"/>
          <w:szCs w:val="22"/>
        </w:rPr>
        <w:t xml:space="preserve"> Действие аккредитации приостанавливается национальным органом по аккредитации в отношении всей области аккредитации или ее части в случае:</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sz w:val="22"/>
          <w:szCs w:val="22"/>
        </w:rPr>
        <w:t>3) отказа или уклонения от прохождения процедуры подтверждения компетентности аккредитованного лица, а также несоответствия аккредитованного лица критериям аккредитации, которое выявлено по результатам процедуры подтверждения компетентности аккредитованного лица и факт устранения которого может быть установлен национальным органом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
    <w:p w:rsidR="00B56B69" w:rsidRPr="0006635C" w:rsidRDefault="00B56B69" w:rsidP="0006635C">
      <w:pPr>
        <w:spacing w:line="300" w:lineRule="atLeast"/>
        <w:ind w:firstLine="340"/>
        <w:jc w:val="both"/>
        <w:rPr>
          <w:rFonts w:ascii="Arial" w:hAnsi="Arial" w:cs="Arial"/>
          <w:sz w:val="22"/>
          <w:szCs w:val="22"/>
        </w:rPr>
      </w:pPr>
    </w:p>
    <w:p w:rsidR="00B56B69" w:rsidRPr="0006635C" w:rsidRDefault="00B56B69" w:rsidP="0006635C">
      <w:pPr>
        <w:pStyle w:val="ConsPlusNormal"/>
        <w:spacing w:line="300" w:lineRule="atLeast"/>
        <w:ind w:firstLine="340"/>
        <w:jc w:val="both"/>
        <w:rPr>
          <w:sz w:val="22"/>
          <w:szCs w:val="22"/>
        </w:rPr>
      </w:pPr>
      <w:r w:rsidRPr="0006635C">
        <w:rPr>
          <w:sz w:val="22"/>
          <w:szCs w:val="22"/>
        </w:rPr>
        <w:t>Действие аккредитации юридического лица (индивидуального предпринимателя), не прошедшего процедуру ПК в соответствии с положениями частей 1 – 3 и 3.1 статьи 30 и части 1 статьи 24 412-ФЗ, т.е. не подавшего заявление о проведении процедуры ПК в предельно установленные сроки, подлежит приостановлению на 20 рабочих дней для устранения нарушения требований законодательства об аккредитации (для подачи соответствующего заявления о проведении процедуры ПК), а в случае неустранения нарушения законодательства (неподачи соответствующего заявления о проведении процедуры ПК в течение 20 рабочих дней с даты приостановления) – безусловному прекращению.</w:t>
      </w:r>
    </w:p>
    <w:p w:rsidR="00B56B69" w:rsidRDefault="00B56B69" w:rsidP="0006635C">
      <w:pPr>
        <w:spacing w:line="300" w:lineRule="atLeast"/>
        <w:ind w:firstLine="340"/>
        <w:jc w:val="both"/>
        <w:outlineLvl w:val="0"/>
        <w:rPr>
          <w:rFonts w:ascii="Arial" w:hAnsi="Arial" w:cs="Arial"/>
          <w:b/>
          <w:sz w:val="22"/>
          <w:szCs w:val="22"/>
        </w:rPr>
      </w:pPr>
    </w:p>
    <w:p w:rsidR="00B56B69" w:rsidRPr="0006635C" w:rsidRDefault="00B56B69" w:rsidP="0006635C">
      <w:pPr>
        <w:spacing w:line="300" w:lineRule="atLeast"/>
        <w:ind w:firstLine="340"/>
        <w:jc w:val="both"/>
        <w:outlineLvl w:val="0"/>
        <w:rPr>
          <w:rFonts w:ascii="Arial" w:hAnsi="Arial" w:cs="Arial"/>
          <w:sz w:val="22"/>
          <w:szCs w:val="22"/>
        </w:rPr>
      </w:pPr>
      <w:r w:rsidRPr="0006635C">
        <w:rPr>
          <w:rFonts w:ascii="Arial" w:hAnsi="Arial" w:cs="Arial"/>
          <w:b/>
          <w:sz w:val="22"/>
          <w:szCs w:val="22"/>
        </w:rPr>
        <w:t>Статья 24.</w:t>
      </w:r>
      <w:r w:rsidRPr="0006635C">
        <w:rPr>
          <w:rFonts w:ascii="Arial" w:hAnsi="Arial" w:cs="Arial"/>
          <w:sz w:val="22"/>
          <w:szCs w:val="22"/>
        </w:rPr>
        <w:t xml:space="preserve"> Подтверждение компетентности аккредитованных лиц</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b/>
          <w:sz w:val="22"/>
          <w:szCs w:val="22"/>
        </w:rPr>
        <w:t>Часть 1.</w:t>
      </w:r>
      <w:r w:rsidRPr="0006635C">
        <w:rPr>
          <w:rFonts w:ascii="Arial" w:hAnsi="Arial" w:cs="Arial"/>
          <w:sz w:val="22"/>
          <w:szCs w:val="22"/>
        </w:rPr>
        <w:t xml:space="preserve"> Аккредитованное лицо обязано проходить процедуру подтверждения компетентности в следующие сроки:</w:t>
      </w:r>
    </w:p>
    <w:p w:rsidR="00B56B69" w:rsidRPr="0006635C" w:rsidRDefault="00B56B69" w:rsidP="0006635C">
      <w:pPr>
        <w:spacing w:line="300" w:lineRule="atLeast"/>
        <w:ind w:firstLine="340"/>
        <w:jc w:val="both"/>
        <w:rPr>
          <w:rFonts w:ascii="Arial" w:hAnsi="Arial" w:cs="Arial"/>
          <w:sz w:val="22"/>
          <w:szCs w:val="22"/>
        </w:rPr>
      </w:pPr>
      <w:bookmarkStart w:id="1" w:name="Par3"/>
      <w:bookmarkEnd w:id="1"/>
      <w:r w:rsidRPr="0006635C">
        <w:rPr>
          <w:rFonts w:ascii="Arial" w:hAnsi="Arial" w:cs="Arial"/>
          <w:sz w:val="22"/>
          <w:szCs w:val="22"/>
        </w:rPr>
        <w:t>1) в течение первого года со дня аккредитации;</w:t>
      </w:r>
    </w:p>
    <w:p w:rsidR="00B56B69" w:rsidRPr="0006635C" w:rsidRDefault="00B56B69" w:rsidP="0006635C">
      <w:pPr>
        <w:spacing w:line="300" w:lineRule="atLeast"/>
        <w:ind w:firstLine="340"/>
        <w:jc w:val="both"/>
        <w:rPr>
          <w:rFonts w:ascii="Arial" w:hAnsi="Arial" w:cs="Arial"/>
          <w:sz w:val="22"/>
          <w:szCs w:val="22"/>
        </w:rPr>
      </w:pPr>
      <w:bookmarkStart w:id="2" w:name="Par4"/>
      <w:bookmarkEnd w:id="2"/>
      <w:r w:rsidRPr="0006635C">
        <w:rPr>
          <w:rFonts w:ascii="Arial" w:hAnsi="Arial" w:cs="Arial"/>
          <w:sz w:val="22"/>
          <w:szCs w:val="22"/>
        </w:rPr>
        <w:t xml:space="preserve">2) не реже чем один раз в два года начиная со дня прохождения предыдущей процедуры подтверждения компетентности </w:t>
      </w:r>
      <w:r w:rsidRPr="0006635C">
        <w:rPr>
          <w:rFonts w:ascii="Arial" w:hAnsi="Arial" w:cs="Arial"/>
          <w:i/>
          <w:sz w:val="22"/>
          <w:szCs w:val="22"/>
        </w:rPr>
        <w:t>(далее также – «двухлетнее» ПК)</w:t>
      </w:r>
      <w:r w:rsidRPr="0006635C">
        <w:rPr>
          <w:rFonts w:ascii="Arial" w:hAnsi="Arial" w:cs="Arial"/>
          <w:sz w:val="22"/>
          <w:szCs w:val="22"/>
        </w:rPr>
        <w:t>;</w:t>
      </w:r>
    </w:p>
    <w:p w:rsidR="00B56B69" w:rsidRPr="0006635C" w:rsidRDefault="00B56B69" w:rsidP="0006635C">
      <w:pPr>
        <w:spacing w:line="300" w:lineRule="atLeast"/>
        <w:ind w:firstLine="340"/>
        <w:jc w:val="both"/>
        <w:rPr>
          <w:rFonts w:ascii="Arial" w:hAnsi="Arial" w:cs="Arial"/>
          <w:sz w:val="22"/>
          <w:szCs w:val="22"/>
        </w:rPr>
      </w:pPr>
      <w:bookmarkStart w:id="3" w:name="Par5"/>
      <w:bookmarkEnd w:id="3"/>
      <w:r w:rsidRPr="0006635C">
        <w:rPr>
          <w:rFonts w:ascii="Arial" w:hAnsi="Arial" w:cs="Arial"/>
          <w:sz w:val="22"/>
          <w:szCs w:val="22"/>
        </w:rPr>
        <w:t xml:space="preserve">3) каждые пять лет со дня аккредитации </w:t>
      </w:r>
      <w:r w:rsidRPr="0006635C">
        <w:rPr>
          <w:rFonts w:ascii="Arial" w:hAnsi="Arial" w:cs="Arial"/>
          <w:i/>
          <w:sz w:val="22"/>
          <w:szCs w:val="22"/>
        </w:rPr>
        <w:t>(далее также – «пятилетнее» ПК)</w:t>
      </w:r>
      <w:r w:rsidRPr="0006635C">
        <w:rPr>
          <w:rFonts w:ascii="Arial" w:hAnsi="Arial" w:cs="Arial"/>
          <w:sz w:val="22"/>
          <w:szCs w:val="22"/>
        </w:rPr>
        <w:t>.</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b/>
          <w:sz w:val="22"/>
          <w:szCs w:val="22"/>
        </w:rPr>
        <w:t>Часть 3.</w:t>
      </w:r>
      <w:r w:rsidRPr="0006635C">
        <w:rPr>
          <w:rFonts w:ascii="Arial" w:hAnsi="Arial" w:cs="Arial"/>
          <w:sz w:val="22"/>
          <w:szCs w:val="22"/>
        </w:rPr>
        <w:t xml:space="preserve"> Подтверждение компетентности аккредитованного лица в сроки, предусмотренные </w:t>
      </w:r>
      <w:hyperlink w:anchor="Par3" w:history="1">
        <w:r w:rsidRPr="0006635C">
          <w:rPr>
            <w:rFonts w:ascii="Arial" w:hAnsi="Arial" w:cs="Arial"/>
            <w:sz w:val="22"/>
            <w:szCs w:val="22"/>
          </w:rPr>
          <w:t>пунктами 1</w:t>
        </w:r>
      </w:hyperlink>
      <w:r w:rsidRPr="0006635C">
        <w:rPr>
          <w:rFonts w:ascii="Arial" w:hAnsi="Arial" w:cs="Arial"/>
          <w:sz w:val="22"/>
          <w:szCs w:val="22"/>
        </w:rPr>
        <w:t xml:space="preserve"> и </w:t>
      </w:r>
      <w:hyperlink w:anchor="Par4" w:history="1">
        <w:r w:rsidRPr="0006635C">
          <w:rPr>
            <w:rFonts w:ascii="Arial" w:hAnsi="Arial" w:cs="Arial"/>
            <w:sz w:val="22"/>
            <w:szCs w:val="22"/>
          </w:rPr>
          <w:t>2 части 1</w:t>
        </w:r>
      </w:hyperlink>
      <w:r w:rsidRPr="0006635C">
        <w:rPr>
          <w:rFonts w:ascii="Arial" w:hAnsi="Arial" w:cs="Arial"/>
          <w:sz w:val="22"/>
          <w:szCs w:val="22"/>
        </w:rPr>
        <w:t xml:space="preserve"> настоящей статьи, проводится </w:t>
      </w:r>
      <w:r w:rsidRPr="0006635C">
        <w:rPr>
          <w:rFonts w:ascii="Arial" w:hAnsi="Arial" w:cs="Arial"/>
          <w:sz w:val="22"/>
          <w:szCs w:val="22"/>
          <w:u w:val="single"/>
        </w:rPr>
        <w:t>в форме выездной оценки соответствия</w:t>
      </w:r>
      <w:r w:rsidRPr="0006635C">
        <w:rPr>
          <w:rFonts w:ascii="Arial" w:hAnsi="Arial" w:cs="Arial"/>
          <w:sz w:val="22"/>
          <w:szCs w:val="22"/>
        </w:rPr>
        <w:t xml:space="preserve">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w:t>
      </w:r>
      <w:hyperlink w:anchor="Par5" w:history="1">
        <w:r w:rsidRPr="0006635C">
          <w:rPr>
            <w:rFonts w:ascii="Arial" w:hAnsi="Arial" w:cs="Arial"/>
            <w:sz w:val="22"/>
            <w:szCs w:val="22"/>
          </w:rPr>
          <w:t>пунктом 3 части 1</w:t>
        </w:r>
      </w:hyperlink>
      <w:r w:rsidRPr="0006635C">
        <w:rPr>
          <w:rFonts w:ascii="Arial" w:hAnsi="Arial" w:cs="Arial"/>
          <w:sz w:val="22"/>
          <w:szCs w:val="22"/>
        </w:rPr>
        <w:t xml:space="preserve"> настоящей статьи, проводится </w:t>
      </w:r>
      <w:r w:rsidRPr="0006635C">
        <w:rPr>
          <w:rFonts w:ascii="Arial" w:hAnsi="Arial" w:cs="Arial"/>
          <w:sz w:val="22"/>
          <w:szCs w:val="22"/>
          <w:u w:val="single"/>
        </w:rPr>
        <w:t>в форме документарной оценки соответствия аккредитованного лица критериям аккредитации и выездной оценки соответствия</w:t>
      </w:r>
      <w:r w:rsidRPr="0006635C">
        <w:rPr>
          <w:rFonts w:ascii="Arial" w:hAnsi="Arial" w:cs="Arial"/>
          <w:sz w:val="22"/>
          <w:szCs w:val="22"/>
        </w:rPr>
        <w:t xml:space="preserve"> аккредитованного лица критериям аккредитации, проводимой по месту или местам осуществления его деятельности.</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b/>
          <w:sz w:val="22"/>
          <w:szCs w:val="22"/>
        </w:rPr>
        <w:t>Часть 5.</w:t>
      </w:r>
      <w:r w:rsidRPr="0006635C">
        <w:rPr>
          <w:rFonts w:ascii="Arial" w:hAnsi="Arial" w:cs="Arial"/>
          <w:sz w:val="22"/>
          <w:szCs w:val="22"/>
        </w:rPr>
        <w:t xml:space="preserve">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9" w:history="1">
        <w:r w:rsidRPr="0006635C">
          <w:rPr>
            <w:rFonts w:ascii="Arial" w:hAnsi="Arial" w:cs="Arial"/>
            <w:sz w:val="22"/>
            <w:szCs w:val="22"/>
          </w:rPr>
          <w:t>Заявление</w:t>
        </w:r>
      </w:hyperlink>
      <w:r w:rsidRPr="0006635C">
        <w:rPr>
          <w:rFonts w:ascii="Arial" w:hAnsi="Arial" w:cs="Arial"/>
          <w:sz w:val="22"/>
          <w:szCs w:val="22"/>
        </w:rPr>
        <w:t xml:space="preserve"> о проведении процедуры подтверждения компетентности аккредитованного лица подается аккредитованным лицом в национальный орган по аккредитации не позднее чем за двадцать рабочих дней до наступления срока прохождения процедуры подтверждения компетентности, определяемого в соответствии с </w:t>
      </w:r>
      <w:hyperlink w:anchor="Par412" w:history="1">
        <w:r w:rsidRPr="0006635C">
          <w:rPr>
            <w:rFonts w:ascii="Arial" w:hAnsi="Arial" w:cs="Arial"/>
            <w:sz w:val="22"/>
            <w:szCs w:val="22"/>
          </w:rPr>
          <w:t>частью 1</w:t>
        </w:r>
      </w:hyperlink>
      <w:r w:rsidRPr="0006635C">
        <w:rPr>
          <w:rFonts w:ascii="Arial" w:hAnsi="Arial" w:cs="Arial"/>
          <w:sz w:val="22"/>
          <w:szCs w:val="22"/>
        </w:rPr>
        <w:t xml:space="preserve"> настоящей статьи.</w:t>
      </w:r>
    </w:p>
    <w:p w:rsidR="00B56B69" w:rsidRPr="0006635C" w:rsidRDefault="00B56B69" w:rsidP="0006635C">
      <w:pPr>
        <w:spacing w:line="300" w:lineRule="atLeast"/>
        <w:ind w:firstLine="340"/>
        <w:jc w:val="both"/>
        <w:rPr>
          <w:rFonts w:ascii="Arial" w:hAnsi="Arial" w:cs="Arial"/>
          <w:sz w:val="22"/>
          <w:szCs w:val="22"/>
        </w:rPr>
      </w:pPr>
    </w:p>
    <w:p w:rsidR="00B56B69" w:rsidRPr="0006635C" w:rsidRDefault="00B56B69" w:rsidP="0006635C">
      <w:pPr>
        <w:pStyle w:val="ConsPlusNormal"/>
        <w:spacing w:line="300" w:lineRule="atLeast"/>
        <w:ind w:firstLine="340"/>
        <w:jc w:val="both"/>
        <w:rPr>
          <w:sz w:val="22"/>
          <w:szCs w:val="22"/>
        </w:rPr>
      </w:pPr>
      <w:r w:rsidRPr="0006635C">
        <w:rPr>
          <w:sz w:val="22"/>
          <w:szCs w:val="22"/>
        </w:rPr>
        <w:t>Датой прохождения ПК необходимо считать указанную в реестре аккредитованных лиц дату приказа Росаккредитации о завершении прохождения процедуры ПК аккредитованным лицом. Приказ о завершении прохождения процедуры ПК издается вне зависимости от результатов ПК. Государственная услуга считается завершенной с момента издания такого приказа, даже если в ходе ее оказания были выявлены несоответствия критериям аккредитации. Устранение несоответствий и принятие отчета об их устранении происходит в рамках контрольных процедур после завершения государственной услуги по ПК.</w:t>
      </w:r>
    </w:p>
    <w:p w:rsidR="00B56B69" w:rsidRPr="0006635C" w:rsidRDefault="00B56B69" w:rsidP="0006635C">
      <w:pPr>
        <w:pStyle w:val="ConsPlusNormal"/>
        <w:spacing w:line="300" w:lineRule="atLeast"/>
        <w:ind w:firstLine="340"/>
        <w:jc w:val="both"/>
        <w:rPr>
          <w:sz w:val="22"/>
          <w:szCs w:val="22"/>
        </w:rPr>
      </w:pPr>
      <w:r w:rsidRPr="0006635C">
        <w:rPr>
          <w:sz w:val="22"/>
          <w:szCs w:val="22"/>
        </w:rPr>
        <w:t>Юридические лица (индивидуальные предприниматели), аккредитованные в национальной системе аккредитации с 01.07.2014 (в том числе на «новый срок»), должны пройти процедуру ПК в течение первого года с даты аккредитации, при этом подать заявление о проведении процедуры ПК необходимо не позднее, чем за 20 рабочих дней до истечения указанного периода. Процедура ПК осуществляется в форме выездной оценки, решение по итогам принимается в течение 65 рабочих дней со дня приема заявления.</w:t>
      </w:r>
    </w:p>
    <w:p w:rsidR="00B56B69" w:rsidRPr="0006635C" w:rsidRDefault="00B56B69" w:rsidP="0006635C">
      <w:pPr>
        <w:pStyle w:val="ConsPlusNormal"/>
        <w:spacing w:line="300" w:lineRule="atLeast"/>
        <w:ind w:firstLine="340"/>
        <w:jc w:val="both"/>
        <w:rPr>
          <w:sz w:val="22"/>
          <w:szCs w:val="22"/>
        </w:rPr>
      </w:pPr>
      <w:r w:rsidRPr="0006635C">
        <w:rPr>
          <w:sz w:val="22"/>
          <w:szCs w:val="22"/>
        </w:rPr>
        <w:t>Аккредитованные лица должны проходить процедуру ПК не реже одного раза в два года с даты завершения последнего ПК, при этом каждые пять лет со дня аккредитации процедура ПК осуществляется в форме документарной и выездной оценок, решение по итогам принимается в течение 90 рабочих дней со дня приема заявления, «двухлетние» ПК осуществляются в форме выездной оценки, а решение по итогам принимается в течение 65 рабочих дней со дня приема заявления. Подавать заявление на прохождение ПК необходимо не позднее, чем за 20 рабочих дней до истечения периода, указанного в пунктах 2 или 3 части 1 статьи 24 412-ФЗ.</w:t>
      </w:r>
    </w:p>
    <w:p w:rsidR="00B56B69" w:rsidRPr="0006635C" w:rsidRDefault="00B56B69" w:rsidP="0006635C">
      <w:pPr>
        <w:pStyle w:val="ConsPlusNormal"/>
        <w:spacing w:line="300" w:lineRule="atLeast"/>
        <w:ind w:firstLine="340"/>
        <w:jc w:val="both"/>
        <w:rPr>
          <w:sz w:val="22"/>
          <w:szCs w:val="22"/>
        </w:rPr>
      </w:pPr>
      <w:r w:rsidRPr="0006635C">
        <w:rPr>
          <w:sz w:val="22"/>
          <w:szCs w:val="22"/>
        </w:rPr>
        <w:t>Датой подачи аккредитованным лицом заявления на ПК необходимо считать дату принятия пакета документов экспедицией Росакредитации при личной подаче документов, или дату регистрации заказного почтового отправления ФГУП «Почта России» или иным почтовым оператором – при подаче документов почтой.</w:t>
      </w:r>
    </w:p>
    <w:p w:rsidR="00B56B69" w:rsidRDefault="00B56B69" w:rsidP="0006635C">
      <w:pPr>
        <w:spacing w:line="300" w:lineRule="atLeast"/>
        <w:ind w:firstLine="340"/>
        <w:jc w:val="both"/>
        <w:outlineLvl w:val="0"/>
        <w:rPr>
          <w:rFonts w:ascii="Arial" w:hAnsi="Arial" w:cs="Arial"/>
          <w:b/>
          <w:sz w:val="22"/>
          <w:szCs w:val="22"/>
        </w:rPr>
      </w:pPr>
    </w:p>
    <w:p w:rsidR="00B56B69" w:rsidRPr="0006635C" w:rsidRDefault="00B56B69" w:rsidP="0006635C">
      <w:pPr>
        <w:spacing w:line="300" w:lineRule="atLeast"/>
        <w:ind w:firstLine="340"/>
        <w:jc w:val="both"/>
        <w:outlineLvl w:val="0"/>
        <w:rPr>
          <w:rFonts w:ascii="Arial" w:hAnsi="Arial" w:cs="Arial"/>
          <w:sz w:val="22"/>
          <w:szCs w:val="22"/>
        </w:rPr>
      </w:pPr>
      <w:r w:rsidRPr="0006635C">
        <w:rPr>
          <w:rFonts w:ascii="Arial" w:hAnsi="Arial" w:cs="Arial"/>
          <w:b/>
          <w:sz w:val="22"/>
          <w:szCs w:val="22"/>
        </w:rPr>
        <w:t>Статья 24.</w:t>
      </w:r>
      <w:r w:rsidRPr="0006635C">
        <w:rPr>
          <w:rFonts w:ascii="Arial" w:hAnsi="Arial" w:cs="Arial"/>
          <w:sz w:val="22"/>
          <w:szCs w:val="22"/>
        </w:rPr>
        <w:t xml:space="preserve"> Подтверждение компетентности аккредитованных лиц</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sz w:val="22"/>
          <w:szCs w:val="22"/>
        </w:rPr>
        <w:t xml:space="preserve">Часть 2. Подтверждение компетентности аккредитованного лица в сроки, предусмотренные </w:t>
      </w:r>
      <w:hyperlink w:anchor="Par4" w:history="1">
        <w:r w:rsidRPr="0006635C">
          <w:rPr>
            <w:rFonts w:ascii="Arial" w:hAnsi="Arial" w:cs="Arial"/>
            <w:sz w:val="22"/>
            <w:szCs w:val="22"/>
          </w:rPr>
          <w:t>пунктом 2 части 1</w:t>
        </w:r>
      </w:hyperlink>
      <w:r w:rsidRPr="0006635C">
        <w:rPr>
          <w:rFonts w:ascii="Arial" w:hAnsi="Arial" w:cs="Arial"/>
          <w:sz w:val="22"/>
          <w:szCs w:val="22"/>
        </w:rPr>
        <w:t xml:space="preserve"> настоящей статьи («двухлетнее» ПК), не проводится, если аккредитованное лицо в этот год прошло процедуру подтверждения компетентности в соответствии с </w:t>
      </w:r>
      <w:hyperlink w:anchor="Par5" w:history="1">
        <w:r w:rsidRPr="0006635C">
          <w:rPr>
            <w:rFonts w:ascii="Arial" w:hAnsi="Arial" w:cs="Arial"/>
            <w:sz w:val="22"/>
            <w:szCs w:val="22"/>
          </w:rPr>
          <w:t>пунктом 3 части 1</w:t>
        </w:r>
      </w:hyperlink>
      <w:r w:rsidRPr="0006635C">
        <w:rPr>
          <w:rFonts w:ascii="Arial" w:hAnsi="Arial" w:cs="Arial"/>
          <w:sz w:val="22"/>
          <w:szCs w:val="22"/>
        </w:rPr>
        <w:t xml:space="preserve"> настоящей статьи («пятилетнее» ПК).</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b/>
          <w:sz w:val="22"/>
          <w:szCs w:val="22"/>
        </w:rPr>
        <w:t>Часть 5.</w:t>
      </w:r>
      <w:r w:rsidRPr="0006635C">
        <w:rPr>
          <w:rFonts w:ascii="Arial" w:hAnsi="Arial" w:cs="Arial"/>
          <w:sz w:val="22"/>
          <w:szCs w:val="22"/>
        </w:rPr>
        <w:t xml:space="preserve">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10" w:history="1">
        <w:r w:rsidRPr="0006635C">
          <w:rPr>
            <w:rFonts w:ascii="Arial" w:hAnsi="Arial" w:cs="Arial"/>
            <w:sz w:val="22"/>
            <w:szCs w:val="22"/>
          </w:rPr>
          <w:t>Заявление</w:t>
        </w:r>
      </w:hyperlink>
      <w:r w:rsidRPr="0006635C">
        <w:rPr>
          <w:rFonts w:ascii="Arial" w:hAnsi="Arial" w:cs="Arial"/>
          <w:sz w:val="22"/>
          <w:szCs w:val="22"/>
        </w:rPr>
        <w:t xml:space="preserve"> о проведении процедуры подтверждения компетентности аккредитованного лица подается аккредитованным лицом в национальный орган по аккредитации не позднее чем за двадцать рабочих дней до наступления срока прохождения процедуры подтверждения компетентности, определяемого в соответствии с </w:t>
      </w:r>
      <w:hyperlink w:anchor="Par412" w:history="1">
        <w:r w:rsidRPr="0006635C">
          <w:rPr>
            <w:rFonts w:ascii="Arial" w:hAnsi="Arial" w:cs="Arial"/>
            <w:sz w:val="22"/>
            <w:szCs w:val="22"/>
          </w:rPr>
          <w:t>частью 1</w:t>
        </w:r>
      </w:hyperlink>
      <w:r w:rsidRPr="0006635C">
        <w:rPr>
          <w:rFonts w:ascii="Arial" w:hAnsi="Arial" w:cs="Arial"/>
          <w:sz w:val="22"/>
          <w:szCs w:val="22"/>
        </w:rPr>
        <w:t xml:space="preserve"> настоящей статьи.</w:t>
      </w:r>
    </w:p>
    <w:p w:rsidR="00B56B69" w:rsidRPr="0006635C" w:rsidRDefault="00B56B69" w:rsidP="0006635C">
      <w:pPr>
        <w:spacing w:line="300" w:lineRule="atLeast"/>
        <w:ind w:firstLine="340"/>
        <w:jc w:val="both"/>
        <w:rPr>
          <w:rFonts w:ascii="Arial" w:hAnsi="Arial" w:cs="Arial"/>
          <w:sz w:val="22"/>
          <w:szCs w:val="22"/>
        </w:rPr>
      </w:pP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sz w:val="22"/>
          <w:szCs w:val="22"/>
        </w:rPr>
        <w:t>В случае, если в течение года с даты завершения предшествующей процедуры ПК (даты приказа о завершении государственной услуги по ПК), проведенного в форме документарной и выездной оценок («пятилетнее» ПК в порядке пункта 3 части 1 статьи 24, по переходным положениям статьи 30), наступает срок для прохождения процедуры ПК в форме выездной оценки («двухлетнее» ПК в порядке пункта 2 части 1 статьи 24), – последнее не проводится.</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sz w:val="22"/>
          <w:szCs w:val="22"/>
        </w:rPr>
        <w:t xml:space="preserve">Если срок прохождения процедуры «пятилетнего» ПК наступает в течение одного года с даты прохождения «двухлетнего» ПК, то аккредитованное лицо может пройти процедуру «пятилетнего» ПК в сроки, установленные для прохождения процедуры «двухлетнего» ПК. </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sz w:val="22"/>
          <w:szCs w:val="22"/>
        </w:rPr>
        <w:t>В этом случае аккредитованное лицо будет «автоматически» освобождено от прохождения процедуры «двухлетнего» ПК при условии прохождения процедуры «пятилетнего» ПК. Форму проводимого ПК заявителю необходимо указать в сопроводительном письме к заявлению на оказание государственной услуги по ПК.</w:t>
      </w:r>
    </w:p>
    <w:p w:rsidR="00B56B69" w:rsidRPr="0006635C" w:rsidRDefault="00B56B69" w:rsidP="0006635C">
      <w:pPr>
        <w:spacing w:line="300" w:lineRule="atLeast"/>
        <w:ind w:firstLine="340"/>
        <w:jc w:val="both"/>
        <w:rPr>
          <w:rFonts w:ascii="Arial" w:hAnsi="Arial" w:cs="Arial"/>
          <w:sz w:val="22"/>
          <w:szCs w:val="22"/>
        </w:rPr>
      </w:pPr>
      <w:r w:rsidRPr="0006635C">
        <w:rPr>
          <w:rFonts w:ascii="Arial" w:hAnsi="Arial" w:cs="Arial"/>
          <w:sz w:val="22"/>
          <w:szCs w:val="22"/>
        </w:rPr>
        <w:t xml:space="preserve">Однако если аккредитованным лицом по более раннему предельному сроку прохождения процедуры ПК </w:t>
      </w:r>
      <w:r w:rsidRPr="0006635C">
        <w:rPr>
          <w:rFonts w:ascii="Arial" w:hAnsi="Arial" w:cs="Arial"/>
          <w:sz w:val="22"/>
          <w:szCs w:val="22"/>
          <w:u w:val="single"/>
        </w:rPr>
        <w:t>уже</w:t>
      </w:r>
      <w:r w:rsidRPr="0006635C">
        <w:rPr>
          <w:rFonts w:ascii="Arial" w:hAnsi="Arial" w:cs="Arial"/>
          <w:sz w:val="22"/>
          <w:szCs w:val="22"/>
        </w:rPr>
        <w:t xml:space="preserve"> пройдена процедура по форме «двухлетнего» ПК, то это не освобождает аккредитованное лицо от необходимости прохождения процедуры по форме «пятилетнего» ПК, даже если две ГУ по ПК приходятся на один год.</w:t>
      </w:r>
    </w:p>
    <w:p w:rsidR="00B56B69" w:rsidRDefault="00B56B69" w:rsidP="0006635C">
      <w:pPr>
        <w:spacing w:line="300" w:lineRule="atLeast"/>
        <w:ind w:firstLine="340"/>
        <w:jc w:val="both"/>
        <w:outlineLvl w:val="0"/>
        <w:rPr>
          <w:rFonts w:ascii="Arial" w:hAnsi="Arial" w:cs="Arial"/>
          <w:b/>
          <w:sz w:val="22"/>
          <w:szCs w:val="22"/>
        </w:rPr>
      </w:pPr>
    </w:p>
    <w:p w:rsidR="00B56B69" w:rsidRPr="0006635C" w:rsidRDefault="00B56B69" w:rsidP="0006635C">
      <w:pPr>
        <w:spacing w:line="300" w:lineRule="atLeast"/>
        <w:ind w:firstLine="340"/>
        <w:jc w:val="both"/>
        <w:outlineLvl w:val="0"/>
        <w:rPr>
          <w:rFonts w:ascii="Arial" w:hAnsi="Arial" w:cs="Arial"/>
          <w:b/>
          <w:sz w:val="22"/>
          <w:szCs w:val="22"/>
        </w:rPr>
      </w:pPr>
      <w:r w:rsidRPr="0006635C">
        <w:rPr>
          <w:rFonts w:ascii="Arial" w:hAnsi="Arial" w:cs="Arial"/>
          <w:b/>
          <w:sz w:val="22"/>
          <w:szCs w:val="22"/>
        </w:rPr>
        <w:t>Примечание</w:t>
      </w:r>
    </w:p>
    <w:p w:rsidR="00B56B69" w:rsidRPr="0006635C" w:rsidRDefault="00B56B69" w:rsidP="0006635C">
      <w:pPr>
        <w:spacing w:line="300" w:lineRule="atLeast"/>
        <w:ind w:firstLine="340"/>
        <w:jc w:val="both"/>
        <w:outlineLvl w:val="0"/>
        <w:rPr>
          <w:rFonts w:ascii="Arial" w:hAnsi="Arial" w:cs="Arial"/>
          <w:sz w:val="22"/>
          <w:szCs w:val="22"/>
        </w:rPr>
      </w:pPr>
      <w:r w:rsidRPr="0006635C">
        <w:rPr>
          <w:rFonts w:ascii="Arial" w:hAnsi="Arial" w:cs="Arial"/>
          <w:sz w:val="22"/>
          <w:szCs w:val="22"/>
        </w:rPr>
        <w:t>Согласно указанному порядку исчисления сроков две процедуры ПК считаются установленными как проходящие в течение одного года, если промежуток времени между предельными сроками их прохождения составляет 364 дня или менее (365 дней – в случае, если период времени между указанными предельными сроками содержит дату 29 февраля, включая крайние даты периода).</w:t>
      </w:r>
    </w:p>
    <w:sectPr w:rsidR="00B56B69" w:rsidRPr="0006635C" w:rsidSect="00DF5729">
      <w:headerReference w:type="default" r:id="rId11"/>
      <w:footerReference w:type="defaul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B69" w:rsidRDefault="00B56B69">
      <w:r>
        <w:separator/>
      </w:r>
    </w:p>
  </w:endnote>
  <w:endnote w:type="continuationSeparator" w:id="0">
    <w:p w:rsidR="00B56B69" w:rsidRDefault="00B56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69" w:rsidRDefault="00B56B69" w:rsidP="00DF5729">
    <w:pPr>
      <w:jc w:val="center"/>
      <w:rPr>
        <w:sz w:val="2"/>
        <w:szCs w:val="2"/>
      </w:rPr>
    </w:pPr>
  </w:p>
  <w:p w:rsidR="00B56B69" w:rsidRDefault="00B56B6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B69" w:rsidRDefault="00B56B69">
      <w:r>
        <w:separator/>
      </w:r>
    </w:p>
  </w:footnote>
  <w:footnote w:type="continuationSeparator" w:id="0">
    <w:p w:rsidR="00B56B69" w:rsidRDefault="00B56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69" w:rsidRDefault="00B56B69" w:rsidP="00DF5729">
    <w:pPr>
      <w:jc w:val="center"/>
      <w:rPr>
        <w:sz w:val="2"/>
        <w:szCs w:val="2"/>
      </w:rPr>
    </w:pPr>
  </w:p>
  <w:p w:rsidR="00B56B69" w:rsidRDefault="00B56B6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B56B69" w:rsidRPr="002A36C4" w:rsidRDefault="00B56B6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56B69" w:rsidRPr="002A36C4" w:rsidRDefault="00B56B6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56B69" w:rsidRDefault="00B56B6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6635C"/>
    <w:rsid w:val="000B5D88"/>
    <w:rsid w:val="000F59EA"/>
    <w:rsid w:val="00185AD7"/>
    <w:rsid w:val="001C50DE"/>
    <w:rsid w:val="002328AA"/>
    <w:rsid w:val="002A36C4"/>
    <w:rsid w:val="002A3FB4"/>
    <w:rsid w:val="002F6C78"/>
    <w:rsid w:val="00470855"/>
    <w:rsid w:val="00616E37"/>
    <w:rsid w:val="006C2CAC"/>
    <w:rsid w:val="006D6D97"/>
    <w:rsid w:val="00706E08"/>
    <w:rsid w:val="008A40F2"/>
    <w:rsid w:val="00B56B69"/>
    <w:rsid w:val="00CA5FB3"/>
    <w:rsid w:val="00D2209C"/>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AB43F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AB43F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AB43F4"/>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47846164">
      <w:marLeft w:val="0"/>
      <w:marRight w:val="0"/>
      <w:marTop w:val="0"/>
      <w:marBottom w:val="0"/>
      <w:divBdr>
        <w:top w:val="none" w:sz="0" w:space="0" w:color="auto"/>
        <w:left w:val="none" w:sz="0" w:space="0" w:color="auto"/>
        <w:bottom w:val="none" w:sz="0" w:space="0" w:color="auto"/>
        <w:right w:val="none" w:sz="0" w:space="0" w:color="auto"/>
      </w:divBdr>
    </w:div>
    <w:div w:id="747846165">
      <w:marLeft w:val="0"/>
      <w:marRight w:val="0"/>
      <w:marTop w:val="0"/>
      <w:marBottom w:val="0"/>
      <w:divBdr>
        <w:top w:val="none" w:sz="0" w:space="0" w:color="auto"/>
        <w:left w:val="none" w:sz="0" w:space="0" w:color="auto"/>
        <w:bottom w:val="none" w:sz="0" w:space="0" w:color="auto"/>
        <w:right w:val="none" w:sz="0" w:space="0" w:color="auto"/>
      </w:divBdr>
    </w:div>
    <w:div w:id="747846166">
      <w:marLeft w:val="0"/>
      <w:marRight w:val="0"/>
      <w:marTop w:val="0"/>
      <w:marBottom w:val="0"/>
      <w:divBdr>
        <w:top w:val="none" w:sz="0" w:space="0" w:color="auto"/>
        <w:left w:val="none" w:sz="0" w:space="0" w:color="auto"/>
        <w:bottom w:val="none" w:sz="0" w:space="0" w:color="auto"/>
        <w:right w:val="none" w:sz="0" w:space="0" w:color="auto"/>
      </w:divBdr>
    </w:div>
    <w:div w:id="747846167">
      <w:marLeft w:val="0"/>
      <w:marRight w:val="0"/>
      <w:marTop w:val="0"/>
      <w:marBottom w:val="0"/>
      <w:divBdr>
        <w:top w:val="none" w:sz="0" w:space="0" w:color="auto"/>
        <w:left w:val="none" w:sz="0" w:space="0" w:color="auto"/>
        <w:bottom w:val="none" w:sz="0" w:space="0" w:color="auto"/>
        <w:right w:val="none" w:sz="0" w:space="0" w:color="auto"/>
      </w:divBdr>
    </w:div>
    <w:div w:id="747846168">
      <w:marLeft w:val="0"/>
      <w:marRight w:val="0"/>
      <w:marTop w:val="0"/>
      <w:marBottom w:val="0"/>
      <w:divBdr>
        <w:top w:val="none" w:sz="0" w:space="0" w:color="auto"/>
        <w:left w:val="none" w:sz="0" w:space="0" w:color="auto"/>
        <w:bottom w:val="none" w:sz="0" w:space="0" w:color="auto"/>
        <w:right w:val="none" w:sz="0" w:space="0" w:color="auto"/>
      </w:divBdr>
    </w:div>
    <w:div w:id="7478461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34D0331EB3F572DD64B028383BD6CC4A97EF29EE3954695F936A84203CDA199422A57169D3EC89q8l0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BD8B745E1CE5011612F61225A8DB48C6E8C9BC1262402BA16918CA44FzEL6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D8B745E1CE5011612F61225A8DB48C6E8C9BC1262402BA16918CA44FzEL6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C522CDD7EC34063D71E68F6F13B343F3F2A74C23ACA1A92E4F053395E3F39876298094174D481718RCr9H" TargetMode="External"/><Relationship Id="rId4" Type="http://schemas.openxmlformats.org/officeDocument/2006/relationships/footnotes" Target="footnotes.xml"/><Relationship Id="rId9" Type="http://schemas.openxmlformats.org/officeDocument/2006/relationships/hyperlink" Target="consultantplus://offline/ref=C522CDD7EC34063D71E68F6F13B343F3F2A74C23ACA1A92E4F053395E3F39876298094174D481718RCr9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Pages>
  <Words>2324</Words>
  <Characters>13250</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Разъяснение </dc:title>
  <dc:subject/>
  <dc:creator>Информ-аналит отдел</dc:creator>
  <cp:keywords/>
  <dc:description/>
  <cp:lastModifiedBy>Информ-аналит отдел</cp:lastModifiedBy>
  <cp:revision>3</cp:revision>
  <dcterms:created xsi:type="dcterms:W3CDTF">2016-03-30T15:17:00Z</dcterms:created>
  <dcterms:modified xsi:type="dcterms:W3CDTF">2016-03-30T15:26:00Z</dcterms:modified>
</cp:coreProperties>
</file>