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284" w:rsidRPr="00D547D0" w:rsidRDefault="00471284" w:rsidP="00D547D0">
      <w:pPr>
        <w:pStyle w:val="ConsPlusTitle"/>
        <w:jc w:val="center"/>
        <w:rPr>
          <w:sz w:val="22"/>
          <w:szCs w:val="22"/>
        </w:rPr>
      </w:pPr>
      <w:r w:rsidRPr="00D547D0">
        <w:rPr>
          <w:sz w:val="22"/>
          <w:szCs w:val="22"/>
        </w:rPr>
        <w:t>ФЕДЕРАЛЬНАЯ СЛУЖБА ПО НАДЗОРУ В СФЕРЕ ЗАЩИТЫ</w:t>
      </w:r>
    </w:p>
    <w:p w:rsidR="00471284" w:rsidRPr="00D547D0" w:rsidRDefault="00471284" w:rsidP="00D547D0">
      <w:pPr>
        <w:pStyle w:val="ConsPlusTitle"/>
        <w:jc w:val="center"/>
        <w:rPr>
          <w:sz w:val="22"/>
          <w:szCs w:val="22"/>
        </w:rPr>
      </w:pPr>
      <w:r w:rsidRPr="00D547D0">
        <w:rPr>
          <w:sz w:val="22"/>
          <w:szCs w:val="22"/>
        </w:rPr>
        <w:t>ПРАВ ПОТРЕБИТЕЛЕЙ И БЛАГОПОЛУЧИЯ ЧЕЛОВЕКА</w:t>
      </w:r>
    </w:p>
    <w:p w:rsidR="00471284" w:rsidRPr="00D547D0" w:rsidRDefault="00471284" w:rsidP="00D547D0">
      <w:pPr>
        <w:pStyle w:val="ConsPlusTitle"/>
        <w:jc w:val="center"/>
        <w:rPr>
          <w:sz w:val="22"/>
          <w:szCs w:val="22"/>
        </w:rPr>
      </w:pPr>
    </w:p>
    <w:p w:rsidR="00471284" w:rsidRPr="00D547D0" w:rsidRDefault="00471284" w:rsidP="00D547D0">
      <w:pPr>
        <w:pStyle w:val="ConsPlusTitle"/>
        <w:jc w:val="center"/>
        <w:rPr>
          <w:sz w:val="22"/>
          <w:szCs w:val="22"/>
        </w:rPr>
      </w:pPr>
      <w:r w:rsidRPr="00D547D0">
        <w:rPr>
          <w:sz w:val="22"/>
          <w:szCs w:val="22"/>
        </w:rPr>
        <w:t>ПИСЬМО</w:t>
      </w:r>
    </w:p>
    <w:p w:rsidR="00471284" w:rsidRPr="00D547D0" w:rsidRDefault="00471284" w:rsidP="00D547D0">
      <w:pPr>
        <w:pStyle w:val="ConsPlusTitle"/>
        <w:jc w:val="center"/>
        <w:rPr>
          <w:sz w:val="22"/>
          <w:szCs w:val="22"/>
        </w:rPr>
      </w:pPr>
      <w:r w:rsidRPr="00D547D0">
        <w:rPr>
          <w:sz w:val="22"/>
          <w:szCs w:val="22"/>
        </w:rPr>
        <w:t xml:space="preserve">от 7 июля </w:t>
      </w:r>
      <w:smartTag w:uri="urn:schemas-microsoft-com:office:smarttags" w:element="metricconverter">
        <w:smartTagPr>
          <w:attr w:name="ProductID" w:val="2015 г"/>
        </w:smartTagPr>
        <w:r w:rsidRPr="00D547D0">
          <w:rPr>
            <w:sz w:val="22"/>
            <w:szCs w:val="22"/>
          </w:rPr>
          <w:t>2015 г</w:t>
        </w:r>
      </w:smartTag>
      <w:r w:rsidRPr="00D547D0">
        <w:rPr>
          <w:sz w:val="22"/>
          <w:szCs w:val="22"/>
        </w:rPr>
        <w:t>. N 01/7890-15-27</w:t>
      </w:r>
    </w:p>
    <w:p w:rsidR="00471284" w:rsidRPr="00D547D0" w:rsidRDefault="00471284" w:rsidP="00D547D0">
      <w:pPr>
        <w:pStyle w:val="ConsPlusTitle"/>
        <w:jc w:val="center"/>
        <w:rPr>
          <w:sz w:val="22"/>
          <w:szCs w:val="22"/>
        </w:rPr>
      </w:pPr>
    </w:p>
    <w:p w:rsidR="00471284" w:rsidRPr="00D547D0" w:rsidRDefault="00471284" w:rsidP="00D547D0">
      <w:pPr>
        <w:pStyle w:val="ConsPlusTitle"/>
        <w:jc w:val="center"/>
        <w:rPr>
          <w:sz w:val="22"/>
          <w:szCs w:val="22"/>
        </w:rPr>
      </w:pPr>
      <w:r w:rsidRPr="00D547D0">
        <w:rPr>
          <w:sz w:val="22"/>
          <w:szCs w:val="22"/>
        </w:rPr>
        <w:t>О ПОРЯДКЕ</w:t>
      </w:r>
    </w:p>
    <w:p w:rsidR="00471284" w:rsidRPr="00D547D0" w:rsidRDefault="00471284" w:rsidP="00D547D0">
      <w:pPr>
        <w:pStyle w:val="ConsPlusTitle"/>
        <w:jc w:val="center"/>
        <w:rPr>
          <w:sz w:val="22"/>
          <w:szCs w:val="22"/>
        </w:rPr>
      </w:pPr>
      <w:r w:rsidRPr="00D547D0">
        <w:rPr>
          <w:sz w:val="22"/>
          <w:szCs w:val="22"/>
        </w:rPr>
        <w:t>ПРОВЕДЕНИЯ МЕДИЦИНСКОГО ОСМОТРА ПОЛЬЗОВАТЕЛЕЙ ПЭВМ</w:t>
      </w:r>
    </w:p>
    <w:p w:rsidR="00471284" w:rsidRPr="00D547D0" w:rsidRDefault="00471284" w:rsidP="00D547D0">
      <w:pPr>
        <w:pStyle w:val="ConsPlusNormal"/>
        <w:jc w:val="both"/>
        <w:rPr>
          <w:sz w:val="22"/>
          <w:szCs w:val="22"/>
        </w:rPr>
      </w:pPr>
    </w:p>
    <w:p w:rsidR="00471284" w:rsidRPr="00D547D0" w:rsidRDefault="00471284" w:rsidP="00D547D0">
      <w:pPr>
        <w:pStyle w:val="ConsPlusNormal"/>
        <w:spacing w:line="340" w:lineRule="atLeast"/>
        <w:ind w:firstLine="680"/>
        <w:jc w:val="both"/>
        <w:rPr>
          <w:sz w:val="22"/>
          <w:szCs w:val="22"/>
        </w:rPr>
      </w:pPr>
      <w:r w:rsidRPr="00D547D0">
        <w:rPr>
          <w:sz w:val="22"/>
          <w:szCs w:val="22"/>
        </w:rPr>
        <w:t>Федеральная служба по надзору в сфере защиты прав потребителей и благополучия человека информирует, что в адрес Роспотребнадзора поступают обращения граждан и организаций по вопросу проведения медицинского осмотра пользователей персональных электронно-вычислительных машин (ПЭВМ).</w:t>
      </w:r>
    </w:p>
    <w:p w:rsidR="00471284" w:rsidRPr="00D547D0" w:rsidRDefault="00471284" w:rsidP="00D547D0">
      <w:pPr>
        <w:pStyle w:val="ConsPlusNormal"/>
        <w:spacing w:line="340" w:lineRule="atLeast"/>
        <w:ind w:firstLine="680"/>
        <w:jc w:val="both"/>
        <w:rPr>
          <w:sz w:val="22"/>
          <w:szCs w:val="22"/>
        </w:rPr>
      </w:pPr>
      <w:r w:rsidRPr="00D547D0">
        <w:rPr>
          <w:sz w:val="22"/>
          <w:szCs w:val="22"/>
        </w:rPr>
        <w:t>Учитывая изложенное, обращаем внимание, что при осуществлении государственного санитарно-эпидемиологического надзора необходимо учитывать следующее.</w:t>
      </w:r>
    </w:p>
    <w:p w:rsidR="00471284" w:rsidRPr="00D547D0" w:rsidRDefault="00471284" w:rsidP="00D547D0">
      <w:pPr>
        <w:pStyle w:val="ConsPlusNormal"/>
        <w:spacing w:line="340" w:lineRule="atLeast"/>
        <w:ind w:firstLine="680"/>
        <w:jc w:val="both"/>
        <w:rPr>
          <w:sz w:val="22"/>
          <w:szCs w:val="22"/>
        </w:rPr>
      </w:pPr>
      <w:r w:rsidRPr="00D547D0">
        <w:rPr>
          <w:sz w:val="22"/>
          <w:szCs w:val="22"/>
        </w:rPr>
        <w:t>Условия труда на рабочем месте с ПЭВМ должны соответствовать требованиям СанПиН 2.2.2/2.4.1340-03 "Гигиенические требования к персональным электронно-вычислительным машинам и организации работы", в том числе факторы производственной среды и трудового процесса не должны превышать допустимые значения.</w:t>
      </w:r>
    </w:p>
    <w:p w:rsidR="00471284" w:rsidRPr="00D547D0" w:rsidRDefault="00471284" w:rsidP="00D547D0">
      <w:pPr>
        <w:pStyle w:val="ConsPlusNormal"/>
        <w:spacing w:line="340" w:lineRule="atLeast"/>
        <w:ind w:firstLine="680"/>
        <w:jc w:val="both"/>
        <w:rPr>
          <w:sz w:val="22"/>
          <w:szCs w:val="22"/>
        </w:rPr>
      </w:pPr>
      <w:r w:rsidRPr="00D547D0">
        <w:rPr>
          <w:sz w:val="22"/>
          <w:szCs w:val="22"/>
        </w:rPr>
        <w:t>Пункт 13.1 СанПиН 2.2.2/2.4.1340-03 "Гигиенические требования к персональным электронно-вычислительным машинам и организации работы" устанавливает отсылочную норму о том, что "Лица, работающие с ПЭВМ более 50% рабочего времени (профессионально связанные с эксплуатацией ПЭВМ), должны проходить обязательные предварительные при поступлении на работу и периодические медицинские осмотры в установленном порядке".</w:t>
      </w:r>
    </w:p>
    <w:p w:rsidR="00471284" w:rsidRPr="00D547D0" w:rsidRDefault="00471284" w:rsidP="00D547D0">
      <w:pPr>
        <w:pStyle w:val="ConsPlusNormal"/>
        <w:spacing w:line="340" w:lineRule="atLeast"/>
        <w:ind w:firstLine="680"/>
        <w:jc w:val="both"/>
        <w:rPr>
          <w:sz w:val="22"/>
          <w:szCs w:val="22"/>
        </w:rPr>
      </w:pPr>
      <w:r w:rsidRPr="00D547D0">
        <w:rPr>
          <w:sz w:val="22"/>
          <w:szCs w:val="22"/>
        </w:rPr>
        <w:t>Порядок проведения обязательных предварительных и периодических медицинских осмотров изложен в приказе Министерства здравоохранения и социального развития Российской Федерации от 12.04.2011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(далее - Приказ).</w:t>
      </w:r>
    </w:p>
    <w:p w:rsidR="00471284" w:rsidRPr="00D547D0" w:rsidRDefault="00471284" w:rsidP="00D547D0">
      <w:pPr>
        <w:pStyle w:val="ConsPlusNormal"/>
        <w:spacing w:line="340" w:lineRule="atLeast"/>
        <w:ind w:firstLine="680"/>
        <w:jc w:val="both"/>
        <w:rPr>
          <w:sz w:val="22"/>
          <w:szCs w:val="22"/>
        </w:rPr>
      </w:pPr>
      <w:r w:rsidRPr="00D547D0">
        <w:rPr>
          <w:sz w:val="22"/>
          <w:szCs w:val="22"/>
        </w:rPr>
        <w:t>Согласно подпункту 3.2.2.4 Перечня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 (далее - Перечень) в качестве основания для проведения предварительных и "периодических медосмотров установлен фактор "электромагнитное поле широкополосного спектра частот от ПЭВМ (работа по считыванию, вводу информации, работа и режиме диалога в сумме не менее 50% рабочего времени)".</w:t>
      </w:r>
    </w:p>
    <w:p w:rsidR="00471284" w:rsidRPr="00D547D0" w:rsidRDefault="00471284" w:rsidP="00D547D0">
      <w:pPr>
        <w:pStyle w:val="ConsPlusNormal"/>
        <w:spacing w:line="340" w:lineRule="atLeast"/>
        <w:ind w:firstLine="680"/>
        <w:jc w:val="both"/>
        <w:rPr>
          <w:sz w:val="22"/>
          <w:szCs w:val="22"/>
        </w:rPr>
      </w:pPr>
      <w:r w:rsidRPr="00D547D0">
        <w:rPr>
          <w:sz w:val="22"/>
          <w:szCs w:val="22"/>
        </w:rPr>
        <w:t>Факторы, указанные в Перечне к Приказу, учитываются как основания для медицинских осмотров только тогда, когда по уровню своего воздействия отнесены к вредным и (или) опасным классам.</w:t>
      </w:r>
    </w:p>
    <w:p w:rsidR="00471284" w:rsidRPr="00D547D0" w:rsidRDefault="00471284" w:rsidP="00D547D0">
      <w:pPr>
        <w:pStyle w:val="ConsPlusNormal"/>
        <w:spacing w:line="340" w:lineRule="atLeast"/>
        <w:ind w:firstLine="680"/>
        <w:jc w:val="both"/>
        <w:rPr>
          <w:sz w:val="22"/>
          <w:szCs w:val="22"/>
        </w:rPr>
      </w:pPr>
      <w:r w:rsidRPr="00D547D0">
        <w:rPr>
          <w:sz w:val="22"/>
          <w:szCs w:val="22"/>
        </w:rPr>
        <w:t>В связи с изложенным полагаем, что предварительные и периодические медицинские осмотры (обследования) работников, занятых на работах с ПЭВМ, должны проводиться при выявлении по результатам аттестации рабочих мест по условиям труда, результатам специальной оценки условий труда, данным производственного контроля вредных и (или) опасных производственных факторов, в том числе электромагнитного поля широкополосного спектра частот от ПЭВМ (величина которого превышает допустимый уровень), являющегося вредным производственным фактором - физическим фактором (подпункт 3.2.2.4 Перечня). Если по результатам оценки условий труда вредных и (или) опасных производственных факторов не выявлено, в том числе уровень электромагнитного поля широкополосного спектра частот от ПЭВМ не превышает допустимые нормы, работник не подлежит включению в поименный список лиц, подлежащих обязательным предварительным (при поступлении на работу) и периодическим (в течение трудовой деятельности) медицинским осмотрам (обследованиям) работников.</w:t>
      </w:r>
    </w:p>
    <w:p w:rsidR="00471284" w:rsidRPr="00D547D0" w:rsidRDefault="00471284" w:rsidP="00D547D0">
      <w:pPr>
        <w:pStyle w:val="ConsPlusNormal"/>
        <w:jc w:val="both"/>
        <w:rPr>
          <w:sz w:val="22"/>
          <w:szCs w:val="22"/>
        </w:rPr>
      </w:pPr>
    </w:p>
    <w:p w:rsidR="00471284" w:rsidRPr="00D547D0" w:rsidRDefault="00471284" w:rsidP="00D547D0">
      <w:pPr>
        <w:pStyle w:val="ConsPlusNormal"/>
        <w:jc w:val="right"/>
        <w:rPr>
          <w:sz w:val="22"/>
          <w:szCs w:val="22"/>
        </w:rPr>
      </w:pPr>
      <w:r w:rsidRPr="00D547D0">
        <w:rPr>
          <w:sz w:val="22"/>
          <w:szCs w:val="22"/>
        </w:rPr>
        <w:t>Руководитель</w:t>
      </w:r>
    </w:p>
    <w:p w:rsidR="00471284" w:rsidRPr="00D547D0" w:rsidRDefault="00471284" w:rsidP="00D547D0">
      <w:pPr>
        <w:pStyle w:val="ConsPlusNormal"/>
        <w:jc w:val="right"/>
        <w:rPr>
          <w:sz w:val="22"/>
          <w:szCs w:val="22"/>
        </w:rPr>
      </w:pPr>
      <w:r w:rsidRPr="00D547D0">
        <w:rPr>
          <w:sz w:val="22"/>
          <w:szCs w:val="22"/>
        </w:rPr>
        <w:t>А.Ю.ПОПОВА</w:t>
      </w:r>
    </w:p>
    <w:sectPr w:rsidR="00471284" w:rsidRPr="00D547D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284" w:rsidRDefault="00471284">
      <w:r>
        <w:separator/>
      </w:r>
    </w:p>
  </w:endnote>
  <w:endnote w:type="continuationSeparator" w:id="0">
    <w:p w:rsidR="00471284" w:rsidRDefault="004712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284" w:rsidRDefault="00471284" w:rsidP="00DF5729">
    <w:pPr>
      <w:jc w:val="center"/>
      <w:rPr>
        <w:sz w:val="2"/>
        <w:szCs w:val="2"/>
      </w:rPr>
    </w:pPr>
  </w:p>
  <w:p w:rsidR="00471284" w:rsidRDefault="0047128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284" w:rsidRDefault="00471284">
      <w:r>
        <w:separator/>
      </w:r>
    </w:p>
  </w:footnote>
  <w:footnote w:type="continuationSeparator" w:id="0">
    <w:p w:rsidR="00471284" w:rsidRDefault="004712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284" w:rsidRDefault="00471284" w:rsidP="00DF5729">
    <w:pPr>
      <w:jc w:val="center"/>
      <w:rPr>
        <w:sz w:val="2"/>
        <w:szCs w:val="2"/>
      </w:rPr>
    </w:pPr>
  </w:p>
  <w:p w:rsidR="00471284" w:rsidRDefault="0047128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71284" w:rsidRPr="002A36C4" w:rsidRDefault="0047128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71284" w:rsidRPr="002A36C4" w:rsidRDefault="0047128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71284" w:rsidRDefault="0047128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71284"/>
    <w:rsid w:val="00616E37"/>
    <w:rsid w:val="006C2CAC"/>
    <w:rsid w:val="006D6D97"/>
    <w:rsid w:val="00706E08"/>
    <w:rsid w:val="008A40F2"/>
    <w:rsid w:val="00CA5FB3"/>
    <w:rsid w:val="00D547D0"/>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F39D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F39D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F39D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3678589">
      <w:marLeft w:val="0"/>
      <w:marRight w:val="0"/>
      <w:marTop w:val="0"/>
      <w:marBottom w:val="0"/>
      <w:divBdr>
        <w:top w:val="none" w:sz="0" w:space="0" w:color="auto"/>
        <w:left w:val="none" w:sz="0" w:space="0" w:color="auto"/>
        <w:bottom w:val="none" w:sz="0" w:space="0" w:color="auto"/>
        <w:right w:val="none" w:sz="0" w:space="0" w:color="auto"/>
      </w:divBdr>
    </w:div>
    <w:div w:id="23678590">
      <w:marLeft w:val="0"/>
      <w:marRight w:val="0"/>
      <w:marTop w:val="0"/>
      <w:marBottom w:val="0"/>
      <w:divBdr>
        <w:top w:val="none" w:sz="0" w:space="0" w:color="auto"/>
        <w:left w:val="none" w:sz="0" w:space="0" w:color="auto"/>
        <w:bottom w:val="none" w:sz="0" w:space="0" w:color="auto"/>
        <w:right w:val="none" w:sz="0" w:space="0" w:color="auto"/>
      </w:divBdr>
    </w:div>
    <w:div w:id="23678591">
      <w:marLeft w:val="0"/>
      <w:marRight w:val="0"/>
      <w:marTop w:val="0"/>
      <w:marBottom w:val="0"/>
      <w:divBdr>
        <w:top w:val="none" w:sz="0" w:space="0" w:color="auto"/>
        <w:left w:val="none" w:sz="0" w:space="0" w:color="auto"/>
        <w:bottom w:val="none" w:sz="0" w:space="0" w:color="auto"/>
        <w:right w:val="none" w:sz="0" w:space="0" w:color="auto"/>
      </w:divBdr>
    </w:div>
    <w:div w:id="23678592">
      <w:marLeft w:val="0"/>
      <w:marRight w:val="0"/>
      <w:marTop w:val="0"/>
      <w:marBottom w:val="0"/>
      <w:divBdr>
        <w:top w:val="none" w:sz="0" w:space="0" w:color="auto"/>
        <w:left w:val="none" w:sz="0" w:space="0" w:color="auto"/>
        <w:bottom w:val="none" w:sz="0" w:space="0" w:color="auto"/>
        <w:right w:val="none" w:sz="0" w:space="0" w:color="auto"/>
      </w:divBdr>
    </w:div>
    <w:div w:id="23678593">
      <w:marLeft w:val="0"/>
      <w:marRight w:val="0"/>
      <w:marTop w:val="0"/>
      <w:marBottom w:val="0"/>
      <w:divBdr>
        <w:top w:val="none" w:sz="0" w:space="0" w:color="auto"/>
        <w:left w:val="none" w:sz="0" w:space="0" w:color="auto"/>
        <w:bottom w:val="none" w:sz="0" w:space="0" w:color="auto"/>
        <w:right w:val="none" w:sz="0" w:space="0" w:color="auto"/>
      </w:divBdr>
    </w:div>
    <w:div w:id="236785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546</Words>
  <Characters>3116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НАДЗОРУ В СФЕРЕ ЗАЩИТЫ</dc:title>
  <dc:subject/>
  <dc:creator>Информ-аналит отдел</dc:creator>
  <cp:keywords/>
  <dc:description/>
  <cp:lastModifiedBy>Информ-аналит отдел</cp:lastModifiedBy>
  <cp:revision>2</cp:revision>
  <dcterms:created xsi:type="dcterms:W3CDTF">2016-06-12T12:12:00Z</dcterms:created>
  <dcterms:modified xsi:type="dcterms:W3CDTF">2016-06-12T12:12:00Z</dcterms:modified>
</cp:coreProperties>
</file>