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0AA" w:rsidRPr="00B004BE" w:rsidRDefault="002F70AA" w:rsidP="006E44B1">
      <w:pPr>
        <w:pStyle w:val="ConsPlusTitle"/>
        <w:jc w:val="center"/>
        <w:rPr>
          <w:sz w:val="22"/>
          <w:szCs w:val="22"/>
        </w:rPr>
      </w:pPr>
      <w:r w:rsidRPr="00B004BE">
        <w:rPr>
          <w:sz w:val="22"/>
          <w:szCs w:val="22"/>
        </w:rPr>
        <w:t>МИНИСТЕРСТВО СТРОИТЕЛЬСТВА И ЖИЛИЩНО-КОММУНАЛЬНОГО</w:t>
      </w:r>
    </w:p>
    <w:p w:rsidR="002F70AA" w:rsidRPr="00B004BE" w:rsidRDefault="002F70AA" w:rsidP="006E44B1">
      <w:pPr>
        <w:pStyle w:val="ConsPlusTitle"/>
        <w:jc w:val="center"/>
        <w:rPr>
          <w:sz w:val="22"/>
          <w:szCs w:val="22"/>
        </w:rPr>
      </w:pPr>
      <w:r w:rsidRPr="00B004BE">
        <w:rPr>
          <w:sz w:val="22"/>
          <w:szCs w:val="22"/>
        </w:rPr>
        <w:t>ХОЗЯЙСТВА РОССИЙСКОЙ ФЕДЕРАЦИИ</w:t>
      </w:r>
    </w:p>
    <w:p w:rsidR="002F70AA" w:rsidRPr="00B004BE" w:rsidRDefault="002F70AA" w:rsidP="006E44B1">
      <w:pPr>
        <w:pStyle w:val="ConsPlusTitle"/>
        <w:jc w:val="center"/>
        <w:rPr>
          <w:sz w:val="22"/>
          <w:szCs w:val="22"/>
        </w:rPr>
      </w:pPr>
    </w:p>
    <w:p w:rsidR="002F70AA" w:rsidRPr="00B004BE" w:rsidRDefault="002F70AA" w:rsidP="006E44B1">
      <w:pPr>
        <w:pStyle w:val="ConsPlusTitle"/>
        <w:jc w:val="center"/>
        <w:rPr>
          <w:sz w:val="22"/>
          <w:szCs w:val="22"/>
        </w:rPr>
      </w:pPr>
      <w:r w:rsidRPr="00B004BE">
        <w:rPr>
          <w:sz w:val="22"/>
          <w:szCs w:val="22"/>
        </w:rPr>
        <w:t>ПИСЬМО</w:t>
      </w:r>
    </w:p>
    <w:p w:rsidR="002F70AA" w:rsidRDefault="002F70AA" w:rsidP="006E44B1">
      <w:pPr>
        <w:pStyle w:val="ConsPlusTitle"/>
        <w:jc w:val="center"/>
        <w:rPr>
          <w:sz w:val="22"/>
          <w:szCs w:val="22"/>
        </w:rPr>
      </w:pPr>
      <w:r w:rsidRPr="00B004BE">
        <w:rPr>
          <w:sz w:val="22"/>
          <w:szCs w:val="22"/>
        </w:rPr>
        <w:t xml:space="preserve">от 5 сентября </w:t>
      </w:r>
      <w:smartTag w:uri="urn:schemas-microsoft-com:office:smarttags" w:element="metricconverter">
        <w:smartTagPr>
          <w:attr w:name="ProductID" w:val="2016 г"/>
        </w:smartTagPr>
        <w:r w:rsidRPr="00B004BE">
          <w:rPr>
            <w:sz w:val="22"/>
            <w:szCs w:val="22"/>
          </w:rPr>
          <w:t>2016 г</w:t>
        </w:r>
      </w:smartTag>
      <w:r w:rsidRPr="00B004BE">
        <w:rPr>
          <w:sz w:val="22"/>
          <w:szCs w:val="22"/>
        </w:rPr>
        <w:t>. N 31617-ОГ/08</w:t>
      </w:r>
    </w:p>
    <w:p w:rsidR="002F70AA" w:rsidRPr="00B004BE" w:rsidRDefault="002F70AA" w:rsidP="006E44B1">
      <w:pPr>
        <w:pStyle w:val="ConsPlusTitle"/>
        <w:jc w:val="center"/>
        <w:rPr>
          <w:sz w:val="22"/>
          <w:szCs w:val="22"/>
        </w:rPr>
      </w:pPr>
    </w:p>
    <w:p w:rsidR="002F70AA" w:rsidRPr="00B004BE" w:rsidRDefault="002F70AA" w:rsidP="00B004BE">
      <w:pPr>
        <w:spacing w:line="312" w:lineRule="auto"/>
        <w:jc w:val="center"/>
        <w:rPr>
          <w:rFonts w:ascii="Arial" w:hAnsi="Arial" w:cs="Arial"/>
          <w:b/>
          <w:sz w:val="22"/>
          <w:szCs w:val="22"/>
        </w:rPr>
      </w:pPr>
      <w:r w:rsidRPr="00B004BE">
        <w:rPr>
          <w:rFonts w:ascii="Arial" w:hAnsi="Arial" w:cs="Arial"/>
          <w:b/>
          <w:sz w:val="22"/>
          <w:szCs w:val="22"/>
        </w:rPr>
        <w:t>О порядке применения национальных стандартов и сводов правил при проектировании и строительстве предприятий, зданий и сооружений</w:t>
      </w:r>
    </w:p>
    <w:p w:rsidR="002F70AA" w:rsidRPr="00B004BE" w:rsidRDefault="002F70AA" w:rsidP="00D761F5">
      <w:pPr>
        <w:spacing w:line="312" w:lineRule="auto"/>
        <w:jc w:val="both"/>
        <w:rPr>
          <w:rFonts w:ascii="Arial" w:hAnsi="Arial" w:cs="Arial"/>
          <w:b/>
          <w:sz w:val="22"/>
          <w:szCs w:val="22"/>
        </w:rPr>
      </w:pPr>
    </w:p>
    <w:p w:rsidR="002F70AA" w:rsidRPr="00B004BE" w:rsidRDefault="002F70AA" w:rsidP="00B004BE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B004BE">
        <w:rPr>
          <w:rFonts w:ascii="Arial" w:hAnsi="Arial" w:cs="Arial"/>
          <w:sz w:val="22"/>
          <w:szCs w:val="22"/>
        </w:rPr>
        <w:t>В Департаменте градостроительной деятельности и архитектуры Министерства строительства и жилищно-коммунального хозяйства Российской Федерации в рамках компетенции рассмотрено обращение и сообщается.</w:t>
      </w:r>
    </w:p>
    <w:p w:rsidR="002F70AA" w:rsidRPr="00B004BE" w:rsidRDefault="002F70AA" w:rsidP="00B004BE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B004BE">
        <w:rPr>
          <w:rFonts w:ascii="Arial" w:hAnsi="Arial" w:cs="Arial"/>
          <w:sz w:val="22"/>
          <w:szCs w:val="22"/>
        </w:rPr>
        <w:t xml:space="preserve">В соответствии с пунктом 12.4 Типового регламента внутренней организации федеральных органов исполнительной власти, утвержденного постановлением Правительства Российской Федерации от 28 июля </w:t>
      </w:r>
      <w:smartTag w:uri="urn:schemas-microsoft-com:office:smarttags" w:element="metricconverter">
        <w:smartTagPr>
          <w:attr w:name="ProductID" w:val="2005 г"/>
        </w:smartTagPr>
        <w:r w:rsidRPr="00B004BE">
          <w:rPr>
            <w:rFonts w:ascii="Arial" w:hAnsi="Arial" w:cs="Arial"/>
            <w:sz w:val="22"/>
            <w:szCs w:val="22"/>
          </w:rPr>
          <w:t>2005 г</w:t>
        </w:r>
      </w:smartTag>
      <w:r w:rsidRPr="00B004BE">
        <w:rPr>
          <w:rFonts w:ascii="Arial" w:hAnsi="Arial" w:cs="Arial"/>
          <w:sz w:val="22"/>
          <w:szCs w:val="22"/>
        </w:rPr>
        <w:t>. № 452, разъяснение законодательства Российской Федерации, практики его применения, а также толкование норм, терминов и понятий осуществляются федеральными органами исполнительной власти в случаях, когда на них возложена соответствующая обязанность.</w:t>
      </w:r>
    </w:p>
    <w:p w:rsidR="002F70AA" w:rsidRPr="00B004BE" w:rsidRDefault="002F70AA" w:rsidP="00B004BE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B004BE">
        <w:rPr>
          <w:rFonts w:ascii="Arial" w:hAnsi="Arial" w:cs="Arial"/>
          <w:sz w:val="22"/>
          <w:szCs w:val="22"/>
        </w:rPr>
        <w:t xml:space="preserve">Согласно Положению о Министерстве строительства и жилищно-коммунального хозяйства Российской Федерации, утвержденному постановлением Правительства Российской Федерации от 18 ноября </w:t>
      </w:r>
      <w:smartTag w:uri="urn:schemas-microsoft-com:office:smarttags" w:element="metricconverter">
        <w:smartTagPr>
          <w:attr w:name="ProductID" w:val="2013 г"/>
        </w:smartTagPr>
        <w:r w:rsidRPr="00B004BE">
          <w:rPr>
            <w:rFonts w:ascii="Arial" w:hAnsi="Arial" w:cs="Arial"/>
            <w:sz w:val="22"/>
            <w:szCs w:val="22"/>
          </w:rPr>
          <w:t>2013 г</w:t>
        </w:r>
      </w:smartTag>
      <w:r w:rsidRPr="00B004BE">
        <w:rPr>
          <w:rFonts w:ascii="Arial" w:hAnsi="Arial" w:cs="Arial"/>
          <w:sz w:val="22"/>
          <w:szCs w:val="22"/>
        </w:rPr>
        <w:t>. № 1038, Минстрой России является федеральным органом исполнительной власти, осуществляющим функции в том числе по выработке и реализации государственной политики и нормативно-правовому регулированию в сфере строительства. Обязанности по разъяснению законодательства Российской Федерации и толкованию понятий, терминов и норм на Минстрой России не возложены.</w:t>
      </w:r>
    </w:p>
    <w:p w:rsidR="002F70AA" w:rsidRPr="00B004BE" w:rsidRDefault="002F70AA" w:rsidP="00B004BE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B004BE">
        <w:rPr>
          <w:rFonts w:ascii="Arial" w:hAnsi="Arial" w:cs="Arial"/>
          <w:sz w:val="22"/>
          <w:szCs w:val="22"/>
        </w:rPr>
        <w:t>Вместе с тем считаем возможным сообщить следующее.</w:t>
      </w:r>
    </w:p>
    <w:p w:rsidR="002F70AA" w:rsidRPr="00B004BE" w:rsidRDefault="002F70AA" w:rsidP="00B004BE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B004BE">
        <w:rPr>
          <w:rFonts w:ascii="Arial" w:hAnsi="Arial" w:cs="Arial"/>
          <w:sz w:val="22"/>
          <w:szCs w:val="22"/>
        </w:rPr>
        <w:t xml:space="preserve">Частью 2 статьи 5 Федерального закона от 30 декабря </w:t>
      </w:r>
      <w:smartTag w:uri="urn:schemas-microsoft-com:office:smarttags" w:element="metricconverter">
        <w:smartTagPr>
          <w:attr w:name="ProductID" w:val="2009 г"/>
        </w:smartTagPr>
        <w:r w:rsidRPr="00B004BE">
          <w:rPr>
            <w:rFonts w:ascii="Arial" w:hAnsi="Arial" w:cs="Arial"/>
            <w:sz w:val="22"/>
            <w:szCs w:val="22"/>
          </w:rPr>
          <w:t>2009 г</w:t>
        </w:r>
      </w:smartTag>
      <w:r w:rsidRPr="00B004BE">
        <w:rPr>
          <w:rFonts w:ascii="Arial" w:hAnsi="Arial" w:cs="Arial"/>
          <w:sz w:val="22"/>
          <w:szCs w:val="22"/>
        </w:rPr>
        <w:t>. № 384-ФЗ «Технический регламент о безопасности зданий и сооружений» (далее - Федеральный закон № 384-ФЗ) предусмотрено, что безопасность зданий и сооружений, а также связанных со зданиями и сооружениями процессов проектирования (включая изыскания), строительства, монтажа, наладки, эксплуатации и утилизации (сноса) обеспечивается посредством соблюдения требований Федерального закона № 384-ФЗ и требований стандартов и сводов правил, включенных в перечни.</w:t>
      </w:r>
    </w:p>
    <w:p w:rsidR="002F70AA" w:rsidRPr="00B004BE" w:rsidRDefault="002F70AA" w:rsidP="00B004BE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B004BE">
        <w:rPr>
          <w:rFonts w:ascii="Arial" w:hAnsi="Arial" w:cs="Arial"/>
          <w:sz w:val="22"/>
          <w:szCs w:val="22"/>
        </w:rPr>
        <w:t>Согласно Федеральному закону № 384-ФЗ национальные стандарты и своды правил (части таких стандартов и сводов правил) являются обязательными для применения, в случае если они включены в Перечень национальных стандартов и сводов правил, в результате применения которых на обязательной основе обеспечивается соблюдение требований Федерального закона «Технический регламент о безопасности зданий и сооружений» (далее - Перечень).</w:t>
      </w:r>
    </w:p>
    <w:p w:rsidR="002F70AA" w:rsidRPr="00B004BE" w:rsidRDefault="002F70AA" w:rsidP="00B004BE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B004BE">
        <w:rPr>
          <w:rFonts w:ascii="Arial" w:hAnsi="Arial" w:cs="Arial"/>
          <w:sz w:val="22"/>
          <w:szCs w:val="22"/>
        </w:rPr>
        <w:t xml:space="preserve">Постановлением Правительства Российской Федерации от 26 декабря </w:t>
      </w:r>
      <w:smartTag w:uri="urn:schemas-microsoft-com:office:smarttags" w:element="metricconverter">
        <w:smartTagPr>
          <w:attr w:name="ProductID" w:val="2014 г"/>
        </w:smartTagPr>
        <w:r w:rsidRPr="00B004BE">
          <w:rPr>
            <w:rFonts w:ascii="Arial" w:hAnsi="Arial" w:cs="Arial"/>
            <w:sz w:val="22"/>
            <w:szCs w:val="22"/>
          </w:rPr>
          <w:t>2014 г</w:t>
        </w:r>
      </w:smartTag>
      <w:r w:rsidRPr="00B004BE">
        <w:rPr>
          <w:rFonts w:ascii="Arial" w:hAnsi="Arial" w:cs="Arial"/>
          <w:sz w:val="22"/>
          <w:szCs w:val="22"/>
        </w:rPr>
        <w:t xml:space="preserve">. № 1521 утвержден актуализированный Перечень (далее - Перечень № 1521). Постановлением Правительства Российской Федерации от 29 сентября </w:t>
      </w:r>
      <w:smartTag w:uri="urn:schemas-microsoft-com:office:smarttags" w:element="metricconverter">
        <w:smartTagPr>
          <w:attr w:name="ProductID" w:val="2015 г"/>
        </w:smartTagPr>
        <w:r w:rsidRPr="00B004BE">
          <w:rPr>
            <w:rFonts w:ascii="Arial" w:hAnsi="Arial" w:cs="Arial"/>
            <w:sz w:val="22"/>
            <w:szCs w:val="22"/>
          </w:rPr>
          <w:t>2015 г</w:t>
        </w:r>
      </w:smartTag>
      <w:r w:rsidRPr="00B004BE">
        <w:rPr>
          <w:rFonts w:ascii="Arial" w:hAnsi="Arial" w:cs="Arial"/>
          <w:sz w:val="22"/>
          <w:szCs w:val="22"/>
        </w:rPr>
        <w:t>. № 1033 внесены изменения в Перечень № 1521.</w:t>
      </w:r>
    </w:p>
    <w:p w:rsidR="002F70AA" w:rsidRPr="00B004BE" w:rsidRDefault="002F70AA" w:rsidP="00B004BE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B004BE">
        <w:rPr>
          <w:rFonts w:ascii="Arial" w:hAnsi="Arial" w:cs="Arial"/>
          <w:sz w:val="22"/>
          <w:szCs w:val="22"/>
        </w:rPr>
        <w:t xml:space="preserve">Действующие нормативно-технические документы, либо их части, не включенные в Перечень № 1521, включаются в Перечень документов в области стандартизации, в результате применения которых на добровольной основе обеспечивается соблюдение требований Федерального закона «Технический регламент о безопасности зданий и сооружений», утвержденный приказом Федерального агентства по техническому регулированию и метрологии от 25 декабря </w:t>
      </w:r>
      <w:smartTag w:uri="urn:schemas-microsoft-com:office:smarttags" w:element="metricconverter">
        <w:smartTagPr>
          <w:attr w:name="ProductID" w:val="2015 г"/>
        </w:smartTagPr>
        <w:r w:rsidRPr="00B004BE">
          <w:rPr>
            <w:rFonts w:ascii="Arial" w:hAnsi="Arial" w:cs="Arial"/>
            <w:sz w:val="22"/>
            <w:szCs w:val="22"/>
          </w:rPr>
          <w:t>2015 г</w:t>
        </w:r>
      </w:smartTag>
      <w:r w:rsidRPr="00B004BE">
        <w:rPr>
          <w:rFonts w:ascii="Arial" w:hAnsi="Arial" w:cs="Arial"/>
          <w:sz w:val="22"/>
          <w:szCs w:val="22"/>
        </w:rPr>
        <w:t>. № 1650 (далее - Перечень № 1650).</w:t>
      </w:r>
    </w:p>
    <w:p w:rsidR="002F70AA" w:rsidRPr="00B004BE" w:rsidRDefault="002F70AA" w:rsidP="00B004BE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B004BE">
        <w:rPr>
          <w:rFonts w:ascii="Arial" w:hAnsi="Arial" w:cs="Arial"/>
          <w:sz w:val="22"/>
          <w:szCs w:val="22"/>
        </w:rPr>
        <w:t xml:space="preserve">Согласно части 4 статьи 16.1 Федерального закона от 27 декабря </w:t>
      </w:r>
      <w:smartTag w:uri="urn:schemas-microsoft-com:office:smarttags" w:element="metricconverter">
        <w:smartTagPr>
          <w:attr w:name="ProductID" w:val="2002 г"/>
        </w:smartTagPr>
        <w:r w:rsidRPr="00B004BE">
          <w:rPr>
            <w:rFonts w:ascii="Arial" w:hAnsi="Arial" w:cs="Arial"/>
            <w:sz w:val="22"/>
            <w:szCs w:val="22"/>
          </w:rPr>
          <w:t>2002 г</w:t>
        </w:r>
      </w:smartTag>
      <w:r w:rsidRPr="00B004BE">
        <w:rPr>
          <w:rFonts w:ascii="Arial" w:hAnsi="Arial" w:cs="Arial"/>
          <w:sz w:val="22"/>
          <w:szCs w:val="22"/>
        </w:rPr>
        <w:t>. № 184-ФЗ «О техническом регулировании» применение на добровольной основе стандартов и (или) сводов правил, включенных в Перечень № 1650, является достаточным условием соблюдения требований соответствующих технических регламентов.</w:t>
      </w:r>
    </w:p>
    <w:p w:rsidR="002F70AA" w:rsidRPr="00B004BE" w:rsidRDefault="002F70AA" w:rsidP="00B004BE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B004BE">
        <w:rPr>
          <w:rFonts w:ascii="Arial" w:hAnsi="Arial" w:cs="Arial"/>
          <w:sz w:val="22"/>
          <w:szCs w:val="22"/>
        </w:rPr>
        <w:t>В случае применения таких стандартов и (или) сводов правил для соблюдения требований технических регламентов оценка соответствия требованиям технических регламентов может осуществляться на основании подтверждения их соответствия таким стандартам и (или) сводам правил. Неприменение таких стандартов и (или) сводов правил не может оцениваться как несоблюдение требований технических регламентов.</w:t>
      </w:r>
    </w:p>
    <w:p w:rsidR="002F70AA" w:rsidRPr="00B004BE" w:rsidRDefault="002F70AA" w:rsidP="00B004BE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B004BE">
        <w:rPr>
          <w:rFonts w:ascii="Arial" w:hAnsi="Arial" w:cs="Arial"/>
          <w:sz w:val="22"/>
          <w:szCs w:val="22"/>
        </w:rPr>
        <w:t>В этом случае допускается применение предварительных национальных стандартов, стандартов организаций и (или) иных документов для оценки соответствия требованиям технических регламентов.</w:t>
      </w:r>
    </w:p>
    <w:p w:rsidR="002F70AA" w:rsidRPr="00B004BE" w:rsidRDefault="002F70AA" w:rsidP="00B004BE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B004BE">
        <w:rPr>
          <w:rFonts w:ascii="Arial" w:hAnsi="Arial" w:cs="Arial"/>
          <w:sz w:val="22"/>
          <w:szCs w:val="22"/>
        </w:rPr>
        <w:t>При этом лицо, осуществляющее оценку соответствия (органы государственной и негосударственной экспертизы), вправе потребовать доказательств, что их использование не повлечет за собой противоречий требованиям Федерального закона № 384-ФЗ.</w:t>
      </w:r>
    </w:p>
    <w:p w:rsidR="002F70AA" w:rsidRPr="00B004BE" w:rsidRDefault="002F70AA" w:rsidP="00B004BE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B004BE">
        <w:rPr>
          <w:rFonts w:ascii="Arial" w:hAnsi="Arial" w:cs="Arial"/>
          <w:sz w:val="22"/>
          <w:szCs w:val="22"/>
        </w:rPr>
        <w:t>В соответствии с частью 6 статьи 15 Федерального закона № 384-ФЗ соответствие проектных значений и характеристик здания или сооружения требованиям безопасности, а также проектируемые мероприятия по обеспечению его безопасности должны быть обоснованы одним или несколькими из следующих способов:</w:t>
      </w:r>
    </w:p>
    <w:p w:rsidR="002F70AA" w:rsidRPr="00B004BE" w:rsidRDefault="002F70AA" w:rsidP="00B004BE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B004BE">
        <w:rPr>
          <w:rFonts w:ascii="Arial" w:hAnsi="Arial" w:cs="Arial"/>
          <w:sz w:val="22"/>
          <w:szCs w:val="22"/>
        </w:rPr>
        <w:t>1) результаты исследований;</w:t>
      </w:r>
    </w:p>
    <w:p w:rsidR="002F70AA" w:rsidRPr="00B004BE" w:rsidRDefault="002F70AA" w:rsidP="00B004BE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B004BE">
        <w:rPr>
          <w:rFonts w:ascii="Arial" w:hAnsi="Arial" w:cs="Arial"/>
          <w:sz w:val="22"/>
          <w:szCs w:val="22"/>
        </w:rPr>
        <w:t>2) расчеты и (или) испытания, выполненные по сертифицированным или апробированным иным способом методикам;</w:t>
      </w:r>
    </w:p>
    <w:p w:rsidR="002F70AA" w:rsidRPr="00B004BE" w:rsidRDefault="002F70AA" w:rsidP="00B004BE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B004BE">
        <w:rPr>
          <w:rFonts w:ascii="Arial" w:hAnsi="Arial" w:cs="Arial"/>
          <w:sz w:val="22"/>
          <w:szCs w:val="22"/>
        </w:rPr>
        <w:t>3) моделирование сценариев возникновения опасных природных процессов и явлений и (или) техногенных воздействий, в том числе при неблагоприятном сочетании опасных природных процессов и явлений и (или) техногенных воздействий;</w:t>
      </w:r>
    </w:p>
    <w:p w:rsidR="002F70AA" w:rsidRPr="00B004BE" w:rsidRDefault="002F70AA" w:rsidP="00B004BE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B004BE">
        <w:rPr>
          <w:rFonts w:ascii="Arial" w:hAnsi="Arial" w:cs="Arial"/>
          <w:sz w:val="22"/>
          <w:szCs w:val="22"/>
        </w:rPr>
        <w:t>4) оценка риска возникновения опасных природных процессов и явлений и (или) техногенных воздействий.</w:t>
      </w:r>
    </w:p>
    <w:p w:rsidR="002F70AA" w:rsidRDefault="002F70AA" w:rsidP="00B004BE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B004BE">
        <w:rPr>
          <w:rFonts w:ascii="Arial" w:hAnsi="Arial" w:cs="Arial"/>
          <w:sz w:val="22"/>
          <w:szCs w:val="22"/>
        </w:rPr>
        <w:t>Следует отметить, что СНиП 1.02.01-85 «Инструкция о составе, порядке разработки, согласования и утверждения проектно-сметной документации на строительство предприятий, зданий и сооружений» не включена в указанные перечни и в этой связи может применяться на добровольной основе в части, не противоречащей нормам Федерального закона № 384-ФЗ.</w:t>
      </w:r>
    </w:p>
    <w:p w:rsidR="002F70AA" w:rsidRPr="00B004BE" w:rsidRDefault="002F70AA" w:rsidP="00B004BE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</w:p>
    <w:p w:rsidR="002F70AA" w:rsidRPr="00B004BE" w:rsidRDefault="002F70AA" w:rsidP="00B004BE">
      <w:pPr>
        <w:jc w:val="right"/>
        <w:rPr>
          <w:rFonts w:ascii="Arial" w:hAnsi="Arial" w:cs="Arial"/>
          <w:sz w:val="22"/>
          <w:szCs w:val="22"/>
        </w:rPr>
      </w:pPr>
      <w:r w:rsidRPr="00B004BE">
        <w:rPr>
          <w:rFonts w:ascii="Arial" w:hAnsi="Arial" w:cs="Arial"/>
          <w:sz w:val="22"/>
          <w:szCs w:val="22"/>
        </w:rPr>
        <w:t>Заместитель директора Департамента</w:t>
      </w:r>
    </w:p>
    <w:p w:rsidR="002F70AA" w:rsidRPr="00B004BE" w:rsidRDefault="002F70AA" w:rsidP="00B004BE">
      <w:pPr>
        <w:jc w:val="right"/>
        <w:rPr>
          <w:rFonts w:ascii="Arial" w:hAnsi="Arial" w:cs="Arial"/>
          <w:sz w:val="22"/>
          <w:szCs w:val="22"/>
        </w:rPr>
      </w:pPr>
      <w:r w:rsidRPr="00B004BE">
        <w:rPr>
          <w:rFonts w:ascii="Arial" w:hAnsi="Arial" w:cs="Arial"/>
          <w:sz w:val="22"/>
          <w:szCs w:val="22"/>
        </w:rPr>
        <w:t>градостроительной деятельности</w:t>
      </w:r>
    </w:p>
    <w:p w:rsidR="002F70AA" w:rsidRDefault="002F70AA" w:rsidP="00B004BE">
      <w:pPr>
        <w:jc w:val="right"/>
        <w:rPr>
          <w:rFonts w:ascii="Arial" w:hAnsi="Arial" w:cs="Arial"/>
          <w:sz w:val="22"/>
          <w:szCs w:val="22"/>
        </w:rPr>
      </w:pPr>
      <w:r w:rsidRPr="00B004BE">
        <w:rPr>
          <w:rFonts w:ascii="Arial" w:hAnsi="Arial" w:cs="Arial"/>
          <w:sz w:val="22"/>
          <w:szCs w:val="22"/>
        </w:rPr>
        <w:t>и архитектуры</w:t>
      </w:r>
    </w:p>
    <w:p w:rsidR="002F70AA" w:rsidRPr="00B004BE" w:rsidRDefault="002F70AA" w:rsidP="00B004BE">
      <w:pPr>
        <w:jc w:val="right"/>
        <w:rPr>
          <w:rFonts w:ascii="Arial" w:hAnsi="Arial" w:cs="Arial"/>
          <w:sz w:val="22"/>
          <w:szCs w:val="22"/>
        </w:rPr>
      </w:pPr>
      <w:r w:rsidRPr="00B004BE">
        <w:rPr>
          <w:rFonts w:ascii="Arial" w:hAnsi="Arial" w:cs="Arial"/>
          <w:sz w:val="22"/>
          <w:szCs w:val="22"/>
        </w:rPr>
        <w:t xml:space="preserve">А.Ю. Степанов </w:t>
      </w:r>
    </w:p>
    <w:sectPr w:rsidR="002F70AA" w:rsidRPr="00B004BE" w:rsidSect="00DF5729">
      <w:headerReference w:type="default" r:id="rId6"/>
      <w:footerReference w:type="default" r:id="rId7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70AA" w:rsidRDefault="002F70AA">
      <w:r>
        <w:separator/>
      </w:r>
    </w:p>
  </w:endnote>
  <w:endnote w:type="continuationSeparator" w:id="0">
    <w:p w:rsidR="002F70AA" w:rsidRDefault="002F70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0AA" w:rsidRDefault="002F70AA" w:rsidP="00DF5729">
    <w:pPr>
      <w:jc w:val="center"/>
      <w:rPr>
        <w:sz w:val="2"/>
        <w:szCs w:val="2"/>
      </w:rPr>
    </w:pPr>
  </w:p>
  <w:p w:rsidR="002F70AA" w:rsidRDefault="002F70AA">
    <w:pPr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70AA" w:rsidRDefault="002F70AA">
      <w:r>
        <w:separator/>
      </w:r>
    </w:p>
  </w:footnote>
  <w:footnote w:type="continuationSeparator" w:id="0">
    <w:p w:rsidR="002F70AA" w:rsidRDefault="002F70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0AA" w:rsidRDefault="002F70AA" w:rsidP="00DF5729">
    <w:pPr>
      <w:jc w:val="center"/>
      <w:rPr>
        <w:sz w:val="2"/>
        <w:szCs w:val="2"/>
      </w:rPr>
    </w:pPr>
  </w:p>
  <w:p w:rsidR="002F70AA" w:rsidRDefault="002F70AA">
    <w:r>
      <w:rPr>
        <w:noProof/>
      </w:rPr>
      <w:pict>
        <v:group id="_x0000_s2049" style="position:absolute;margin-left:-4.9pt;margin-top:4.35pt;width:493.05pt;height:65.25pt;z-index:251660288" coordorigin="1418,680" coordsize="9861,1305">
          <v:shapetype id="_x0000_t202" coordsize="21600,21600" o:spt="202" path="m,l,21600r21600,l21600,xe">
            <v:stroke joinstyle="miter"/>
            <v:path gradientshapeok="t" o:connecttype="rect"/>
          </v:shapetype>
          <v:shape id="Text Box 17" o:spid="_x0000_s2050" type="#_x0000_t202" style="position:absolute;left:2279;top:821;width:9000;height:99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  <v:textbox style="mso-next-textbox:#Text Box 17" inset=",0">
              <w:txbxContent>
                <w:p w:rsidR="002F70AA" w:rsidRPr="002A36C4" w:rsidRDefault="002F70AA" w:rsidP="006D6D97">
                  <w:pPr>
                    <w:contextualSpacing/>
                    <w:jc w:val="right"/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Calibri" w:hAnsi="Calibri"/>
                      <w:i/>
                      <w:color w:val="333333"/>
                      <w:sz w:val="18"/>
                      <w:szCs w:val="18"/>
                      <w:lang w:val="en-US" w:eastAsia="en-US"/>
                    </w:rPr>
                    <w:t>mail</w:t>
                  </w:r>
                  <w:r w:rsidRPr="002A36C4"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  <w:t>@</w:t>
                  </w:r>
                  <w:r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  <w:t>arm-ecogroup</w:t>
                  </w:r>
                  <w:r w:rsidRPr="002A36C4"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  <w:t>.ru</w:t>
                  </w:r>
                </w:p>
                <w:p w:rsidR="002F70AA" w:rsidRPr="002A36C4" w:rsidRDefault="002F70AA" w:rsidP="006D6D97">
                  <w:pPr>
                    <w:contextualSpacing/>
                    <w:jc w:val="right"/>
                    <w:rPr>
                      <w:i/>
                      <w:color w:val="999999"/>
                      <w:sz w:val="18"/>
                      <w:szCs w:val="18"/>
                    </w:rPr>
                  </w:pPr>
                  <w:r w:rsidRPr="002A36C4">
                    <w:rPr>
                      <w:i/>
                      <w:color w:val="999999"/>
                      <w:sz w:val="18"/>
                      <w:szCs w:val="18"/>
                    </w:rPr>
                    <w:t xml:space="preserve">тел: </w:t>
                  </w:r>
                  <w:r w:rsidRPr="002A36C4">
                    <w:rPr>
                      <w:i/>
                      <w:color w:val="333333"/>
                      <w:sz w:val="18"/>
                      <w:szCs w:val="18"/>
                    </w:rPr>
                    <w:t>(</w:t>
                  </w:r>
                  <w:r>
                    <w:rPr>
                      <w:i/>
                      <w:color w:val="333333"/>
                      <w:sz w:val="18"/>
                      <w:szCs w:val="18"/>
                      <w:lang w:val="en-US"/>
                    </w:rPr>
                    <w:t>812</w:t>
                  </w:r>
                  <w:r w:rsidRPr="002A36C4">
                    <w:rPr>
                      <w:i/>
                      <w:color w:val="333333"/>
                      <w:sz w:val="18"/>
                      <w:szCs w:val="18"/>
                    </w:rPr>
                    <w:t xml:space="preserve">) </w:t>
                  </w:r>
                  <w:r>
                    <w:rPr>
                      <w:i/>
                      <w:color w:val="333333"/>
                      <w:sz w:val="18"/>
                      <w:szCs w:val="18"/>
                    </w:rPr>
                    <w:t>963-04-20</w:t>
                  </w:r>
                  <w:r w:rsidRPr="002A36C4">
                    <w:rPr>
                      <w:i/>
                      <w:color w:val="999999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2051" type="#_x0000_t75" alt="logo" style="position:absolute;left:1418;top:680;width:6270;height:1305;visibility:visible">
            <v:imagedata r:id="rId1" o:title=""/>
          </v:shape>
        </v:group>
      </w:pict>
    </w:r>
    <w:r>
      <w:rPr>
        <w:sz w:val="10"/>
        <w:szCs w:val="10"/>
      </w:rPr>
      <w:t xml:space="preserve"> </w:t>
    </w:r>
  </w:p>
  <w:p w:rsidR="002F70AA" w:rsidRDefault="002F70AA">
    <w:r>
      <w:rPr>
        <w:noProof/>
      </w:rPr>
      <w:pict>
        <v:line id="_x0000_s2052" style="position:absolute;z-index:251661312" from="31.25pt,52.4pt" to="475.85pt,52.4pt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B5D88"/>
    <w:rsid w:val="000F59EA"/>
    <w:rsid w:val="00185AD7"/>
    <w:rsid w:val="001C50DE"/>
    <w:rsid w:val="002328AA"/>
    <w:rsid w:val="002A36C4"/>
    <w:rsid w:val="002A3FB4"/>
    <w:rsid w:val="002F6C78"/>
    <w:rsid w:val="002F70AA"/>
    <w:rsid w:val="00352E3D"/>
    <w:rsid w:val="00415D80"/>
    <w:rsid w:val="00470855"/>
    <w:rsid w:val="004F63DE"/>
    <w:rsid w:val="00616E37"/>
    <w:rsid w:val="006B07E1"/>
    <w:rsid w:val="006C2CAC"/>
    <w:rsid w:val="006D6D97"/>
    <w:rsid w:val="006E44B1"/>
    <w:rsid w:val="00706E08"/>
    <w:rsid w:val="008A40F2"/>
    <w:rsid w:val="00B004BE"/>
    <w:rsid w:val="00C72C17"/>
    <w:rsid w:val="00CA5FB3"/>
    <w:rsid w:val="00D761F5"/>
    <w:rsid w:val="00DF5729"/>
    <w:rsid w:val="00EB2E3B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F63DE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F63D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4F63D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4F63DE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202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9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9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9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2</Pages>
  <Words>818</Words>
  <Characters>4669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СТРОИТЕЛЬСТВА И ЖИЛИЩНО-КОММУНАЛЬНОГО</dc:title>
  <dc:subject/>
  <dc:creator>Информ-аналит отдел</dc:creator>
  <cp:keywords/>
  <dc:description/>
  <cp:lastModifiedBy>Информ-аналит отдел</cp:lastModifiedBy>
  <cp:revision>3</cp:revision>
  <dcterms:created xsi:type="dcterms:W3CDTF">2016-09-08T08:27:00Z</dcterms:created>
  <dcterms:modified xsi:type="dcterms:W3CDTF">2016-09-08T08:29:00Z</dcterms:modified>
</cp:coreProperties>
</file>