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BD2" w:rsidRPr="00871E0E" w:rsidRDefault="00215BD2" w:rsidP="00871E0E">
      <w:pPr>
        <w:spacing w:line="300" w:lineRule="atLeast"/>
        <w:jc w:val="center"/>
        <w:rPr>
          <w:rFonts w:ascii="Arial" w:hAnsi="Arial" w:cs="Arial"/>
          <w:b/>
          <w:sz w:val="22"/>
          <w:szCs w:val="22"/>
        </w:rPr>
      </w:pPr>
      <w:r w:rsidRPr="00871E0E">
        <w:rPr>
          <w:rFonts w:ascii="Arial" w:hAnsi="Arial" w:cs="Arial"/>
          <w:b/>
          <w:sz w:val="22"/>
          <w:szCs w:val="22"/>
        </w:rPr>
        <w:t>Итоги мониторинга  ООО МСП «ОПОРА РОССИИ»</w:t>
      </w:r>
    </w:p>
    <w:p w:rsidR="00215BD2" w:rsidRDefault="00215BD2" w:rsidP="00871E0E">
      <w:pPr>
        <w:spacing w:line="300" w:lineRule="atLeast"/>
        <w:ind w:firstLine="340"/>
        <w:jc w:val="both"/>
        <w:rPr>
          <w:rFonts w:ascii="Arial" w:hAnsi="Arial" w:cs="Arial"/>
          <w:sz w:val="22"/>
          <w:szCs w:val="22"/>
        </w:rPr>
      </w:pP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В период с 20 декабря 2016 года по 5 февраля 2017 года профильным Комитетом по строительству ООО МСП «ОПОРА РОССИИ» был проведен мониторинг практики применения Федерального закона от 3 июля 2016 года № 372-ФЗ. Целевой аудиторией исследования стали субъекты предпринимательства, основной хозяйственной деятельностью которых является строительство, проектирование и/или изыскательская деятельность.</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В исследовании приняли участие члены ООО МСП «ОПОРА РОССИИ», предприниматели – представители отрасли более чем из половины субъектов Российской Федерации, осуществляющие свою деятельность по указанным направлениям как в одном субъекте, так и на территории всего государства.</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Самая большая проблема сегодняшнего дня – неперечисление компфонда.</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Ряд саморегулируемых организаций не перечисляет или перечисляет не в полном объеме средства компенсационного фонда, внесенные переходящими в рамках регионализации членами. При анализе поступивших жалоб выявлены следующие формы неисполнения обязанности саморегулируемыми организациями: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понуждение своих членов написать заявление о добровольном выходе из саморегулируемой организации вместо уведомления о переходе;</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отказ в приеме уведомления;</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не исключение из членов саморегулируемой организации в указанную в уведомлении дату о выходе с дальнейшим переходом;</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требование предоставить выписку из реестра членов новой саморегулируемой организации;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отказ в перечислении средств компенсационного фонда в связи с отсутствием таких средств;</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отказ в перечислении средств компенсационного фонда в связи c непредоставлением документов, не предусмотренных Кодексом;</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исключение из членов саморегулируемой организации за неуплату членских взносов (2 месяца) или в связи с прекращением действия свидетельства о допуске без проведения проверок результатов устранения выявленных нарушений и без уведомления о предстоящем исключении.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В результате мониторинга экспертами Комитета по строительству ООО МСП «ОПОРА РОССИИ» был выявлен дополнительный ряд проблем применения 372-ФЗ.</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1. Запрет на переход в другую СРО в рамках одного субъекта Российской Федерации с переводом средств, внесенных в компенсационный фонд, на счет в новую СРО.</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В настоящее время компании, которые хотели бы осуществить такой переход, получают отказ в перечислении средств компенсационного фонда в своей СРО на основании разъяснения Министерства строительства и ЖКХ РФ, где указано, что взнос в компенсационный фонд остается на счету предыдущей СРО, а в новое необходимо вносить новый взнос. При этом 372-ФЗ не содержит подобного запрета переходить внутри субъекта вместе с взносом.</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Необходимо проработать данный вопрос. Сейчас есть СРО, которые при всех обстоятельствах не наберут необходимое количество членов и не продолжат свою деятельность после 1 июля 2017 года. Также существуют недобросовестные СРО, а ее члены – юридические лица и ИП не имеют правовой возможности уже сейчас стать членом добросовестной организации. При существующем подходе таким предпринимателям нужно ждать 1 октября 2017 года, после чего Ростехнадзор сможет исключать такие СРО из общего реестра. Средства компенсационных фондов будут переводиться на счет НОСТРОЙ, и только потом вернуться к предпринимателю. Вся процедура займет приблизительно 1 год, что недопустимо, ведь работать компании должны каждый день. Для исправления данной ситуации не требуется вносить изменения в законодательство, проблему можно урегулировать путем разъяснений со стороны Министерства строительства и ЖКХ РФ.</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2.Отсутствие альтернативных решений оспаривания решения СРО о невозврате средств компенсационного фонда.</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В настоящее время законом предусмотрен только судебный порядок, который может длиться несколько месяцев, а также является дополнительной финансовой нагрузкой для предпринимателей.</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Необходимо разработать дополнительные механизмы внесудебного разрешения подобных споров. Данные механизмы могут быть предусмотрены развитием института третейских судов в сфере разрешения споров между саморегулируемыми организациями и их членами, а также путем расширения полномочий национальных объединений.</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3. Недобросовестные СРО или СРО, утратившие компенсационные фонды, продолжают свою деятельность на рынке.</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Срок реализации положений реформы, касающихся исключения недобросовестных СРО из реестра, слишком велик. В настоящее время существует досудебный механизм исключения СРО из реестра Ростехнадзором. Но в отдельных случаях необходимо оптимизировать сроки исключения сведений из реестра саморегулируемых организаций, а также право накладывать ограничения на прием новых членов и ограничивать доступ к средствам компенсационных фондов на период проведения проверки.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Национальные объединения к настоящему моменту уже провели полный анализ всех работающих на рынке саморегулируемых организаций. Они владеют самой полной и объективной информацией по каждой СРО. Необходимо начинать «очищать» институт саморегулирования в сфере строительства, проектирования и изыскательской деятельности уже сегодня. В этой части предлагается обязать Ростехнадзор проводить проверки СРО по рекомендации Национального объединения, а также уточнить сроки проведения такой проверки и вынесения заключения.</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4.Открытый перечень оснований для отказа в приеме нового члена СРО.</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Эксперты Комитета по строительству ООО МСП «ОПОРА РОССИИ» обращали внимание на риски, которые несет положение об открытом перечне оснований для отказа в членстве в СРО. По нашему мнению, введение данной меры приведет к многократным злоупотреблениям данным пробелом в 372-ФЗ. Перечень оснований для отказа в приеме должен быть полным и исчерпывающим.</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5.Технический заказчик должен иметь допуски СРО на все виды работ.</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Гражданский кодекс Российской Федерации дает следующее определение  понятию «технический заказчик»: технический заказчик - физическое лицо, действующее на профессиональной основе, или юридическое лицо, которые уполномочены застройщиком и от имени застройщика заключают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подготавливают задания на выполнение указанных видов работ, предоставляют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утверждают проектную документацию, подписывают документы, необходимые для получения разрешения на ввод объекта капитального строительства в эксплуатацию, осуществляют иные функции, предусмотренные настоящим Кодексом. Застройщик вправе осуществлять функции технического заказчика самостоятельно.</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Также из положений 372-ФЗ следует, что технический заказчик обязан иметь все допуски, а это означает отчисления взносов сразу в три саморегулируемые организации, что является огромной финансовой нагрузкой.</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Также вновь обращаем внимание на то, что только в 11 субъектах РФ присутствует все три СРО на три вида деятельности.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Предлагаем проработать отдельный механизм о взносах в компенсационные фонды саморегулируемых организаций компаниями – техническими заказчиками с целью снижения финансовой нагрузки.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6. Использование средств компенсационных фондов.</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Предлагаем внести следующие изменения в законодательство:</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исключить средства компенсационных фондов СРО из конкурсной массы кредитной организации при ее банкротстве,</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рассмотреть на заседании Координационного совета вопрос об отмене ответственности членов СРО за сохранность средств компенсационных фондов в случае их уменьшения при инвестировании,</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предусмотреть возможность перевода средств компенсационного фонда исключенного члена СРО в фонд договорных обязательств этого СРО,</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необходимы разъяснения по возможности распределения ранее внесенного взноса в компенсационный фонд, на взнос в компенсационный фонд возмещения вреда и компенсационный фонд обеспечения договорных обязательств,</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необходимы разъяснения по вопросу распределения средств, полученных в результате инвестирования средств и средств, оставшихся от ранее исключенных членов СРО по распределению в компенсационный фонд договорных обязательств,</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 xml:space="preserve"> - рассмотреть право саморегулируемой организации страховать риски утраты средств компенсационных фондов.</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Все предложения «Опоры России» были приняты Министерством строительства и ЖКХ, большинство из которых вошли в итоговый Доклад Д.Н. Козаку. Не вошедшие предложения будут рассмотрены и проработаны Минстроем независимо от проводимого мониторинга.</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Принимая во внимание, что основные положения Федерального закона от 3 июля 2017 года № 372-ФЗ вступают в силу с 1 июля 2017 года, Минстроем России, Ростехнадзором, национальными объединениями саморегулируемых организаций и Общероссийской общественной организации малого и среднего предпринимательства «ОПОРА РОССИИ» будет продолжено проведение мониторинга практики его применения.</w:t>
      </w:r>
    </w:p>
    <w:p w:rsidR="00215BD2" w:rsidRPr="00871E0E" w:rsidRDefault="00215BD2" w:rsidP="00871E0E">
      <w:pPr>
        <w:spacing w:line="300" w:lineRule="atLeast"/>
        <w:ind w:firstLine="340"/>
        <w:jc w:val="both"/>
        <w:rPr>
          <w:rFonts w:ascii="Arial" w:hAnsi="Arial" w:cs="Arial"/>
          <w:sz w:val="22"/>
          <w:szCs w:val="22"/>
        </w:rPr>
      </w:pPr>
      <w:r w:rsidRPr="00871E0E">
        <w:rPr>
          <w:rFonts w:ascii="Arial" w:hAnsi="Arial" w:cs="Arial"/>
          <w:sz w:val="22"/>
          <w:szCs w:val="22"/>
        </w:rPr>
        <w:t>Очередной доклад в соответствии с поручением Заместителя Председателя Правительства Российской Федерации Д.Н. Козака от 9 июня 2016 года № ДК-П9-127пр будет представлен в Правительство Российской Федерации до 1 ноября 2017 года, в котором будут сделаны окончательные выводы об успешности реализации мероприятий по реформированию системы саморегулирования в строительстве, предусмотренных Федеральным законом от 3 июля 2017 года № 372-ФЗ, и предложены согласованные варианты решения возникающих проблем практики его применения.</w:t>
      </w:r>
    </w:p>
    <w:sectPr w:rsidR="00215BD2" w:rsidRPr="00871E0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BD2" w:rsidRDefault="00215BD2">
      <w:r>
        <w:separator/>
      </w:r>
    </w:p>
  </w:endnote>
  <w:endnote w:type="continuationSeparator" w:id="0">
    <w:p w:rsidR="00215BD2" w:rsidRDefault="00215B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D2" w:rsidRDefault="00215BD2" w:rsidP="00DF5729">
    <w:pPr>
      <w:jc w:val="center"/>
      <w:rPr>
        <w:sz w:val="2"/>
        <w:szCs w:val="2"/>
      </w:rPr>
    </w:pPr>
  </w:p>
  <w:p w:rsidR="00215BD2" w:rsidRDefault="00215B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BD2" w:rsidRDefault="00215BD2">
      <w:r>
        <w:separator/>
      </w:r>
    </w:p>
  </w:footnote>
  <w:footnote w:type="continuationSeparator" w:id="0">
    <w:p w:rsidR="00215BD2" w:rsidRDefault="00215B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D2" w:rsidRDefault="00215BD2" w:rsidP="00DF5729">
    <w:pPr>
      <w:jc w:val="center"/>
      <w:rPr>
        <w:sz w:val="2"/>
        <w:szCs w:val="2"/>
      </w:rPr>
    </w:pPr>
  </w:p>
  <w:p w:rsidR="00215BD2" w:rsidRDefault="00215B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15BD2" w:rsidRPr="002A36C4" w:rsidRDefault="00215B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15BD2" w:rsidRPr="002A36C4" w:rsidRDefault="00215B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15BD2" w:rsidRDefault="00215BD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15BD2"/>
    <w:rsid w:val="002328AA"/>
    <w:rsid w:val="002A36C4"/>
    <w:rsid w:val="002A3FB4"/>
    <w:rsid w:val="002F6C78"/>
    <w:rsid w:val="00352E3D"/>
    <w:rsid w:val="00415D80"/>
    <w:rsid w:val="00470855"/>
    <w:rsid w:val="00616E37"/>
    <w:rsid w:val="006C2CAC"/>
    <w:rsid w:val="006D6D97"/>
    <w:rsid w:val="00706E08"/>
    <w:rsid w:val="00871E0E"/>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96AA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96AA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96AA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03222170">
      <w:marLeft w:val="0"/>
      <w:marRight w:val="0"/>
      <w:marTop w:val="0"/>
      <w:marBottom w:val="0"/>
      <w:divBdr>
        <w:top w:val="none" w:sz="0" w:space="0" w:color="auto"/>
        <w:left w:val="none" w:sz="0" w:space="0" w:color="auto"/>
        <w:bottom w:val="none" w:sz="0" w:space="0" w:color="auto"/>
        <w:right w:val="none" w:sz="0" w:space="0" w:color="auto"/>
      </w:divBdr>
    </w:div>
    <w:div w:id="603222171">
      <w:marLeft w:val="0"/>
      <w:marRight w:val="0"/>
      <w:marTop w:val="0"/>
      <w:marBottom w:val="0"/>
      <w:divBdr>
        <w:top w:val="none" w:sz="0" w:space="0" w:color="auto"/>
        <w:left w:val="none" w:sz="0" w:space="0" w:color="auto"/>
        <w:bottom w:val="none" w:sz="0" w:space="0" w:color="auto"/>
        <w:right w:val="none" w:sz="0" w:space="0" w:color="auto"/>
      </w:divBdr>
    </w:div>
    <w:div w:id="603222172">
      <w:marLeft w:val="0"/>
      <w:marRight w:val="0"/>
      <w:marTop w:val="0"/>
      <w:marBottom w:val="0"/>
      <w:divBdr>
        <w:top w:val="none" w:sz="0" w:space="0" w:color="auto"/>
        <w:left w:val="none" w:sz="0" w:space="0" w:color="auto"/>
        <w:bottom w:val="none" w:sz="0" w:space="0" w:color="auto"/>
        <w:right w:val="none" w:sz="0" w:space="0" w:color="auto"/>
      </w:divBdr>
    </w:div>
    <w:div w:id="603222173">
      <w:marLeft w:val="0"/>
      <w:marRight w:val="0"/>
      <w:marTop w:val="0"/>
      <w:marBottom w:val="0"/>
      <w:divBdr>
        <w:top w:val="none" w:sz="0" w:space="0" w:color="auto"/>
        <w:left w:val="none" w:sz="0" w:space="0" w:color="auto"/>
        <w:bottom w:val="none" w:sz="0" w:space="0" w:color="auto"/>
        <w:right w:val="none" w:sz="0" w:space="0" w:color="auto"/>
      </w:divBdr>
    </w:div>
    <w:div w:id="603222174">
      <w:marLeft w:val="0"/>
      <w:marRight w:val="0"/>
      <w:marTop w:val="0"/>
      <w:marBottom w:val="0"/>
      <w:divBdr>
        <w:top w:val="none" w:sz="0" w:space="0" w:color="auto"/>
        <w:left w:val="none" w:sz="0" w:space="0" w:color="auto"/>
        <w:bottom w:val="none" w:sz="0" w:space="0" w:color="auto"/>
        <w:right w:val="none" w:sz="0" w:space="0" w:color="auto"/>
      </w:divBdr>
    </w:div>
    <w:div w:id="6032221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1417</Words>
  <Characters>8079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Итоги мониторинга  ООО МСП «ОПОРА РОССИИ»</dc:title>
  <dc:subject/>
  <dc:creator>Информ-аналит отдел</dc:creator>
  <cp:keywords/>
  <dc:description/>
  <cp:lastModifiedBy>Информ-аналит отдел</cp:lastModifiedBy>
  <cp:revision>2</cp:revision>
  <dcterms:created xsi:type="dcterms:W3CDTF">2017-03-21T22:07:00Z</dcterms:created>
  <dcterms:modified xsi:type="dcterms:W3CDTF">2017-03-21T22:07:00Z</dcterms:modified>
</cp:coreProperties>
</file>