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71C" w:rsidRPr="00301C14" w:rsidRDefault="0006171C" w:rsidP="00301C14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301C14">
        <w:rPr>
          <w:sz w:val="22"/>
          <w:szCs w:val="22"/>
        </w:rPr>
        <w:t xml:space="preserve">Зарегистрировано в Минюсте России 14 ноября </w:t>
      </w:r>
      <w:smartTag w:uri="urn:schemas-microsoft-com:office:smarttags" w:element="metricconverter">
        <w:smartTagPr>
          <w:attr w:name="ProductID" w:val="2017 г"/>
        </w:smartTagPr>
        <w:r w:rsidRPr="00301C14">
          <w:rPr>
            <w:sz w:val="22"/>
            <w:szCs w:val="22"/>
          </w:rPr>
          <w:t>2017 г</w:t>
        </w:r>
      </w:smartTag>
      <w:r w:rsidRPr="00301C14">
        <w:rPr>
          <w:sz w:val="22"/>
          <w:szCs w:val="22"/>
        </w:rPr>
        <w:t>. N 48883</w:t>
      </w:r>
    </w:p>
    <w:p w:rsidR="0006171C" w:rsidRPr="00301C14" w:rsidRDefault="0006171C" w:rsidP="00301C14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r w:rsidRPr="00301C14">
        <w:rPr>
          <w:sz w:val="22"/>
          <w:szCs w:val="22"/>
        </w:rPr>
        <w:t>ФЕДЕРАЛЬНАЯ СЛУЖБА ПО НАДЗОРУ В СФЕРЕ ЗАЩИТЫ</w:t>
      </w: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r w:rsidRPr="00301C14">
        <w:rPr>
          <w:sz w:val="22"/>
          <w:szCs w:val="22"/>
        </w:rPr>
        <w:t>ПРАВ ПОТРЕБИТЕЛЕЙ И БЛАГОПОЛУЧИЯ ЧЕЛОВЕКА</w:t>
      </w:r>
    </w:p>
    <w:p w:rsidR="0006171C" w:rsidRPr="00301C14" w:rsidRDefault="0006171C" w:rsidP="00301C14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r w:rsidRPr="00301C14">
        <w:rPr>
          <w:sz w:val="22"/>
          <w:szCs w:val="22"/>
        </w:rPr>
        <w:t>ГЛАВНЫЙ ГОСУДАРСТВЕННЫЙ САНИТАРНЫЙ ВРАЧ</w:t>
      </w: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r w:rsidRPr="00301C14">
        <w:rPr>
          <w:sz w:val="22"/>
          <w:szCs w:val="22"/>
        </w:rPr>
        <w:t>РОССИЙСКОЙ ФЕДЕРАЦИИ</w:t>
      </w:r>
    </w:p>
    <w:p w:rsidR="0006171C" w:rsidRPr="00301C14" w:rsidRDefault="0006171C" w:rsidP="00301C14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r w:rsidRPr="00301C14">
        <w:rPr>
          <w:sz w:val="22"/>
          <w:szCs w:val="22"/>
        </w:rPr>
        <w:t>ПОСТАНОВЛЕНИЕ</w:t>
      </w: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r w:rsidRPr="00301C14">
        <w:rPr>
          <w:sz w:val="22"/>
          <w:szCs w:val="22"/>
        </w:rPr>
        <w:t xml:space="preserve">от 4 сентября </w:t>
      </w:r>
      <w:smartTag w:uri="urn:schemas-microsoft-com:office:smarttags" w:element="metricconverter">
        <w:smartTagPr>
          <w:attr w:name="ProductID" w:val="2017 г"/>
        </w:smartTagPr>
        <w:r w:rsidRPr="00301C14">
          <w:rPr>
            <w:sz w:val="22"/>
            <w:szCs w:val="22"/>
          </w:rPr>
          <w:t>2017 г</w:t>
        </w:r>
      </w:smartTag>
      <w:r w:rsidRPr="00301C14">
        <w:rPr>
          <w:sz w:val="22"/>
          <w:szCs w:val="22"/>
        </w:rPr>
        <w:t>. N 124</w:t>
      </w:r>
    </w:p>
    <w:p w:rsidR="0006171C" w:rsidRPr="00301C14" w:rsidRDefault="0006171C" w:rsidP="00301C14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r w:rsidRPr="00301C14">
        <w:rPr>
          <w:sz w:val="22"/>
          <w:szCs w:val="22"/>
        </w:rPr>
        <w:t>ОБ УТВЕРЖДЕНИИ САНПИН 2.6.1.3488-17</w:t>
      </w: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r w:rsidRPr="00301C14">
        <w:rPr>
          <w:sz w:val="22"/>
          <w:szCs w:val="22"/>
        </w:rPr>
        <w:t>"ГИГИЕНИЧЕСКИЕ ТРЕБОВАНИЯ ПО ОБЕСПЕЧЕНИЮ РАДИАЦИОННОЙ</w:t>
      </w: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r w:rsidRPr="00301C14">
        <w:rPr>
          <w:sz w:val="22"/>
          <w:szCs w:val="22"/>
        </w:rPr>
        <w:t>БЕЗОПАСНОСТИ ПРИ ОБРАЩЕНИИ С ЛУЧЕВЫМИ</w:t>
      </w: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r w:rsidRPr="00301C14">
        <w:rPr>
          <w:sz w:val="22"/>
          <w:szCs w:val="22"/>
        </w:rPr>
        <w:t>ДОСМОТРОВЫМИ УСТАНОВКАМИ"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В соответствии с Федеральным законом от 30.03.1999 N 52-ФЗ "О санитарно-эпидемиологическом благополучии населения" (Собрание законодательства Российской Федерации, 1999, N 14, ст. 1650; 2002, N 1 (ч. I), ст. 2; 2003, N 2, ст. 167; N 27 (ч. I), ст. 2700; 2004, N 35, ст. 3607; 2005, N 19, ст. 1752; 2006, N 1, ст. 10; N 52 (ч. I), ст. 5498; 2007, N 1 (ч. I), ст. 21; N 1 (ч. I), ст. 29; N 27, ст. 3213; N 46, ст. 5554; N 49, ст. 6070; 2008, N 29 (ч. I), ст. 3418; N 30 (ч. II), ст. 3616; 2009, N 1, ст. 17; 2010, N 40, ст. 4969; 2011, N 1, ст. 6; N 30 (ч. I), ст. 4563, ст. 4590, ст. 4591, ст. 4596; N 50, ст. 7359; 2012, N 24, ст. 3069; N 26, ст. 3446; 2013, N 27, ст. 3477; N 30 (ч. I), ст. 4079; N 48, ст. 6165; 2014, N 26 (ч. I), ст. 3366, ст. 3377; 2015, N 1 (ч. I), ст. 11; N 27, ст. 3951, N 29 (ч. I), ст. 4339; N 29 (ч. I), ст. 4359; N 48 (ч. I), ст. 6724; 2016, N 27 (ч. I), ст. 4160; N 27 (ч. II), ст. 4238; 2017, N 27, ст. 3932; N 27, ст. 3938; N 31 (ч. I), ст. 4765; N 31 (ч. I), ст. 4770) и постановлением Правительства Российской Федерации от 24.07.2000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(Собрание законодательства Российской Федерации, 2000, N 31, ст. 3295; 2004, N 8, ст. 663; N 47, ст. 4666; 2005, N 39, ст. 3953) постановляю:</w:t>
      </w:r>
    </w:p>
    <w:p w:rsidR="0006171C" w:rsidRPr="00301C14" w:rsidRDefault="0006171C" w:rsidP="00301C14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301C14">
        <w:rPr>
          <w:sz w:val="22"/>
          <w:szCs w:val="22"/>
        </w:rPr>
        <w:t xml:space="preserve">Утвердить санитарно-эпидемиологические правила и нормативы </w:t>
      </w:r>
      <w:hyperlink w:anchor="Par35" w:tooltip="ГИГИЕНИЧЕСКИЕ ТРЕБОВАНИЯ" w:history="1">
        <w:r w:rsidRPr="00301C14">
          <w:rPr>
            <w:sz w:val="22"/>
            <w:szCs w:val="22"/>
          </w:rPr>
          <w:t>СанПиН 2.6.1.3488-17</w:t>
        </w:r>
      </w:hyperlink>
      <w:r w:rsidRPr="00301C14">
        <w:rPr>
          <w:sz w:val="22"/>
          <w:szCs w:val="22"/>
        </w:rPr>
        <w:t xml:space="preserve"> "Гигиенические требования по обеспечению радиационной безопасности при обращении с лучевыми досмотровыми установками" (приложение).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jc w:val="right"/>
        <w:rPr>
          <w:sz w:val="22"/>
          <w:szCs w:val="22"/>
        </w:rPr>
      </w:pPr>
      <w:r w:rsidRPr="00301C14">
        <w:rPr>
          <w:sz w:val="22"/>
          <w:szCs w:val="22"/>
        </w:rPr>
        <w:t>А.Ю.ПОПОВА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Default="0006171C" w:rsidP="00301C14">
      <w:pPr>
        <w:pStyle w:val="ConsPlusNormal"/>
        <w:spacing w:line="300" w:lineRule="atLeast"/>
        <w:jc w:val="both"/>
        <w:rPr>
          <w:sz w:val="22"/>
          <w:szCs w:val="22"/>
          <w:lang w:val="en-US"/>
        </w:rPr>
      </w:pPr>
    </w:p>
    <w:p w:rsidR="0006171C" w:rsidRDefault="0006171C" w:rsidP="00301C14">
      <w:pPr>
        <w:pStyle w:val="ConsPlusNormal"/>
        <w:spacing w:line="300" w:lineRule="atLeast"/>
        <w:jc w:val="both"/>
        <w:rPr>
          <w:sz w:val="22"/>
          <w:szCs w:val="22"/>
          <w:lang w:val="en-US"/>
        </w:rPr>
      </w:pPr>
    </w:p>
    <w:p w:rsidR="0006171C" w:rsidRDefault="0006171C" w:rsidP="00301C14">
      <w:pPr>
        <w:pStyle w:val="ConsPlusNormal"/>
        <w:spacing w:line="300" w:lineRule="atLeast"/>
        <w:jc w:val="both"/>
        <w:rPr>
          <w:sz w:val="22"/>
          <w:szCs w:val="22"/>
          <w:lang w:val="en-US"/>
        </w:rPr>
      </w:pPr>
    </w:p>
    <w:p w:rsidR="0006171C" w:rsidRDefault="0006171C" w:rsidP="00301C14">
      <w:pPr>
        <w:pStyle w:val="ConsPlusNormal"/>
        <w:spacing w:line="300" w:lineRule="atLeast"/>
        <w:jc w:val="both"/>
        <w:rPr>
          <w:sz w:val="22"/>
          <w:szCs w:val="22"/>
          <w:lang w:val="en-US"/>
        </w:rPr>
      </w:pP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  <w:lang w:val="en-US"/>
        </w:rPr>
      </w:pPr>
    </w:p>
    <w:p w:rsidR="0006171C" w:rsidRPr="00301C14" w:rsidRDefault="0006171C" w:rsidP="00301C14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301C14">
        <w:rPr>
          <w:sz w:val="22"/>
          <w:szCs w:val="22"/>
        </w:rPr>
        <w:t>Приложение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jc w:val="right"/>
        <w:rPr>
          <w:sz w:val="22"/>
          <w:szCs w:val="22"/>
        </w:rPr>
      </w:pPr>
      <w:r w:rsidRPr="00301C14">
        <w:rPr>
          <w:sz w:val="22"/>
          <w:szCs w:val="22"/>
        </w:rPr>
        <w:t>Утверждены</w:t>
      </w:r>
    </w:p>
    <w:p w:rsidR="0006171C" w:rsidRPr="00301C14" w:rsidRDefault="0006171C" w:rsidP="00301C14">
      <w:pPr>
        <w:pStyle w:val="ConsPlusNormal"/>
        <w:spacing w:line="300" w:lineRule="atLeast"/>
        <w:jc w:val="right"/>
        <w:rPr>
          <w:sz w:val="22"/>
          <w:szCs w:val="22"/>
        </w:rPr>
      </w:pPr>
      <w:r w:rsidRPr="00301C14">
        <w:rPr>
          <w:sz w:val="22"/>
          <w:szCs w:val="22"/>
        </w:rPr>
        <w:t>постановлением Главного</w:t>
      </w:r>
    </w:p>
    <w:p w:rsidR="0006171C" w:rsidRPr="00301C14" w:rsidRDefault="0006171C" w:rsidP="00301C14">
      <w:pPr>
        <w:pStyle w:val="ConsPlusNormal"/>
        <w:spacing w:line="300" w:lineRule="atLeast"/>
        <w:jc w:val="right"/>
        <w:rPr>
          <w:sz w:val="22"/>
          <w:szCs w:val="22"/>
        </w:rPr>
      </w:pPr>
      <w:r w:rsidRPr="00301C14">
        <w:rPr>
          <w:sz w:val="22"/>
          <w:szCs w:val="22"/>
        </w:rPr>
        <w:t>государственного санитарного</w:t>
      </w:r>
    </w:p>
    <w:p w:rsidR="0006171C" w:rsidRPr="00301C14" w:rsidRDefault="0006171C" w:rsidP="00301C14">
      <w:pPr>
        <w:pStyle w:val="ConsPlusNormal"/>
        <w:spacing w:line="300" w:lineRule="atLeast"/>
        <w:jc w:val="right"/>
        <w:rPr>
          <w:sz w:val="22"/>
          <w:szCs w:val="22"/>
        </w:rPr>
      </w:pPr>
      <w:r w:rsidRPr="00301C14">
        <w:rPr>
          <w:sz w:val="22"/>
          <w:szCs w:val="22"/>
        </w:rPr>
        <w:t>врача Российской Федерации</w:t>
      </w:r>
    </w:p>
    <w:p w:rsidR="0006171C" w:rsidRPr="00301C14" w:rsidRDefault="0006171C" w:rsidP="00301C14">
      <w:pPr>
        <w:pStyle w:val="ConsPlusNormal"/>
        <w:spacing w:line="300" w:lineRule="atLeast"/>
        <w:jc w:val="right"/>
        <w:rPr>
          <w:sz w:val="22"/>
          <w:szCs w:val="22"/>
        </w:rPr>
      </w:pPr>
      <w:r w:rsidRPr="00301C14">
        <w:rPr>
          <w:sz w:val="22"/>
          <w:szCs w:val="22"/>
        </w:rPr>
        <w:t>от 04.09.2017 N 124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5"/>
      <w:bookmarkEnd w:id="0"/>
      <w:r w:rsidRPr="00301C14">
        <w:rPr>
          <w:sz w:val="22"/>
          <w:szCs w:val="22"/>
        </w:rPr>
        <w:t>ГИГИЕНИЧЕСКИЕ ТРЕБОВАНИЯ</w:t>
      </w: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r w:rsidRPr="00301C14">
        <w:rPr>
          <w:sz w:val="22"/>
          <w:szCs w:val="22"/>
        </w:rPr>
        <w:t>ПО ОБЕСПЕЧЕНИЮ РАДИАЦИОННОЙ БЕЗОПАСНОСТИ ПРИ ОБРАЩЕНИИ</w:t>
      </w: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r w:rsidRPr="00301C14">
        <w:rPr>
          <w:sz w:val="22"/>
          <w:szCs w:val="22"/>
        </w:rPr>
        <w:t>С ЛУЧЕВЫМИ ДОСМОТРОВЫМИ УСТАНОВКАМИ</w:t>
      </w:r>
    </w:p>
    <w:p w:rsidR="0006171C" w:rsidRPr="00301C14" w:rsidRDefault="0006171C" w:rsidP="00301C14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r w:rsidRPr="00301C14">
        <w:rPr>
          <w:sz w:val="22"/>
          <w:szCs w:val="22"/>
        </w:rPr>
        <w:t>Санитарно-эпидемиологические правила и нормативы</w:t>
      </w:r>
    </w:p>
    <w:p w:rsidR="0006171C" w:rsidRPr="00301C14" w:rsidRDefault="0006171C" w:rsidP="00301C14">
      <w:pPr>
        <w:pStyle w:val="ConsPlusTitle"/>
        <w:spacing w:line="300" w:lineRule="atLeast"/>
        <w:jc w:val="center"/>
        <w:rPr>
          <w:sz w:val="22"/>
          <w:szCs w:val="22"/>
        </w:rPr>
      </w:pPr>
      <w:r w:rsidRPr="00301C14">
        <w:rPr>
          <w:sz w:val="22"/>
          <w:szCs w:val="22"/>
        </w:rPr>
        <w:t>СанПиН 2.6.1.3488-17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301C14">
        <w:rPr>
          <w:sz w:val="22"/>
          <w:szCs w:val="22"/>
        </w:rPr>
        <w:t>I. ОБЛАСТЬ ПРИМЕНЕНИЯ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1.1. Санитарно-эпидемиологические правила и нормативы (далее - Санитарные правила) устанавливают требования по обеспечению радиационной безопасности населения и персонала при всех видах обращения с лучевыми досмотровыми установками (далее - ЛДУ).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1.2. Санитарные правила распространяются на проектирование, конструирование, изготовление, реализацию, испытания, монтаж, эксплуатацию, радиационный контроль, техническое обслуживание (в том числе ремонт и наладку), транспортирование, хранение и утилизацию ЛДУ, в том числе рентгеновских установок для досмотра багажа и товаров (далее - РУДБТ) для 1-го (с движущимся объектом контроля) и 2-го (с неподвижным объектом контроля) типов; инспекционно-досмотровых комплексов (далее - ИДК) 1-го (с неподвижным источником) и 2-го (с движущимся источником) типов, содержащих ускорители электронов с энергией до 10 МэВ и (или) источники рентгеновского излучения; лучевых досмотровых установок, содержащих радионуклидные или генерирующие источники нейтронов с максимальной энергией до 15 МэВ (далее - НЛДУ).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1.3. Соблюдение Санитарных правил является обязательным для организаций, осуществляющих работы с ЛДУ, а также для персонала этих организаций.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1.4. Действие Санитарных правил не распространяется на рентгеновские сканеры для персонального досмотра людей.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301C14">
        <w:rPr>
          <w:sz w:val="22"/>
          <w:szCs w:val="22"/>
        </w:rPr>
        <w:t>II. ОБЩИЕ ПОЛОЖЕНИЯ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2.1. ЛДУ с генерирующими источниками ионизирующего излучения в обесточенном состоянии не представляют радиационной опасности, их транспортирование и хранение производится без выполнения требований по обеспечению радиационной безопасности.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2.2. К использованию в Российской Федерации допускаются ЛДУ, соответствующие требованиям норм радиационной безопасности &lt;1&gt; (далее - НРБ-99/2009), основным санитарным правилам обеспечения радиационной безопасности &lt;2&gt; (далее - ОСПОРБ-99/2010) и Санитарным правилам.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--------------------------------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</w:pPr>
      <w:r w:rsidRPr="00301C14">
        <w:t>&lt;1&gt; Санитарные правила и нормативы СанПиН 2.6.1.2523-09 "Нормы радиационной безопасности (НРБ-99/2009)", утвержденные постановлением Главного государственного санитарного врача Российской Федерации от 07.07.2009 N 47 (зарегистрировано Минюстом России от 14.08.2009, регистрационный номер 14534).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</w:pPr>
      <w:r w:rsidRPr="00301C14">
        <w:t>&lt;2&gt; Санитарные правила и нормативы СП 2.6.1.2612-10 "Основные санитарные правила обеспечения радиационной безопасности (ОСПОРБ-99/2010)", утвержденные постановлением Главного государственного санитарного врача Российской Федерации от 26.04.2010 N 40 (зарегистрировано Минюстом России 11.08.2010, регистрационный номер 18115), с изменениями, внесенными постановлением Главного государственного санитарного врача Российской Федерации от 16.09.2013 N 43 (зарегистрировано Минюстом России 05.11.2013, регистрационный номер 30309).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2.3. Изготовление, реализация, испытания, монтаж, эксплуатация, радиационный контроль, техническое обслуживание (в том числе ремонт и наладка), транспортирование, хранение и утилизация ЛДУ осуществляются при наличии санитарно-эпидемиологического заключения о соответствии условий работы с источниками ионизирующего излучения Санитарным правилам.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Проектирование, конструирование, изготовление, реализация, испытания, монтаж, эксплуатация, радиационный контроль, техническое обслуживание (в том числе ремонт и наладка), транспортирование, хранение и утилизация ЛДУ допускается при наличии лицензии на осуществление деятельности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 &lt;3&gt;.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--------------------------------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</w:pPr>
      <w:r w:rsidRPr="00301C14">
        <w:t>&lt;3&gt; Пункт 39 статьи 12 Федерального закона от 04.05.2011 N 99-ФЗ "О лицензировании отдельных видов деятельности" (Собрание законодательства Российской Федерации, 2011, N 19, ст. 2716; N 30 (ч. I), ст. 4590; N 43, ст. 5971; N 48, ст. 6728; 2012, N 26, ст. 3446; N 31, ст. 4322; 2013, N 9, ст. 874; N 27, ст. 3477; 2014, N 30 (ч. I), ст. 4256; N 42, ст. 5615; 2015, N 1 (ч. I), ст. 11; N 1 (ч. I), ст. 72; N 27, ст. 3951; N 29 (ч. I), ст. 4339; N 29 (ч. I), ст. 4342; N 29 (ч. I), ст. 4389; 2016, N 1 (ч. I), ст. 50; N 1 (ч. I), ст. 51) (далее - пункт 39 статьи 12 Федерального закона от 04.05.2011 N 99-ФЗ); постановление Правительства Российской Федерации от 02.04.2012 N 278 "О лицензировании деятельности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деятельности)", с изменениями, внесенными постановлением Правительства Российской Федерации от 06.03.2015 N 201 (далее - постановление Правительства Российской Федерации от 02.04.2012 N 278); пункт 3.4.2 ОСПОРБ-99/2010.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2.4. Передача от одного юридического или физического лица другому источников ионизирующего излучения и содержащих их изделий производится в соответствии с пунктами 3.5.1 - 3.5.4 ОСПОРБ-99/2010.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301C14">
        <w:rPr>
          <w:sz w:val="22"/>
          <w:szCs w:val="22"/>
        </w:rPr>
        <w:t>III. ТРЕБОВАНИЯ К УСТРОЙСТВУ ЛДУ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3.1. ЛДУ должны обеспечивать защиту персонала и населения от воздействия ионизирующего излучения при работе установки. В соответствии с пунктом 3.3.6 ОСПОРБ-99/2010 при проектировании радиационных объектов и выборе технологических схем работ следует обеспечить: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1) минимальное облучение персонала и населения в соответствии с принципом оптимизации;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2) максимальную автоматизацию и механизацию операций;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3) автоматизированный и визуальный контроль за ходом технологического процесса;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4) применение наименее токсичных и вредных веществ;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5) минимальные уровни шума, вибрации и других вредных факторов;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6) минимальные выбросы и сбросы радиоактивных веществ в окружающую среду;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7) минимальное количество радиоактивных отходов с простыми, надежными способами их временного хранения и переработки;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8) звуковую и (или) световую сигнализацию о нарушениях технологического процесса;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9) блокировки.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Включение ЛДУ должно сопровождаться звуковой и (или) световой сигнализацией о состоянии установки (включена, генерируется излучение, выключена). Устройство пульта управления ЛДУ должно гарантировать невозможность ее несанкционированного включения без использования специального ключа или кода.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3.2. РУДБТ должны обеспечивать выполнение следующих требований: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1) в РУДБТ предусматривают блокировки, исключающие возможность генерации рентгеновского излучения при снятых или неправильно установленных съемных защитных блоках (при их наличии). РУДБТ 2-го типа оснащаются блокировками, исключающими возможность генерации рентгеновского излучения при открытой досмотровой камере. Конструкция блокировок должна исключать возможность их отключения без нарушения пломб изготовителя.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При неисправности блокировок возможность включения РУДБТ должна быть исключена. Информация о неисправности систем блокировки и сигнализации поступает на пульт управления;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2) в РУДБТ защита от рентгеновского излучения конструктивно входит в состав установки. При всех возможных условиях эксплуатации РУДБТ мощность амбиентного эквивалента дозы рентгеновского излучения на расстоянии 0,1 м от ее внешней поверхности не должна превышать 2,5 мкЗв/ч;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3) досмотровая камера РУДБТ 1-го и 2-го типов должна быть окружена радиационной защитой, обеспечивающей безопасные условия работы и исключающей возможность облучения людей прямым пучком рентгеновского излучения;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4) вход и выход из досмотровой камеры РУБДТ 1-го типа при генерации рентгеновского излучения перекрываются эластичными защитными шторками или дверцами, ослабляющими рассеянное излучение при закрытых шторках (дверцах) до величин, не превышающих 2,5 мкЗв/ч. Генерация рентгеновского излучения производится только в период нахождения контролируемого объекта в зоне контроля. При остановке движения транспортера, перемещающего объект контроля, генерация излучения должна прекращаться;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5) в РУДБТ 2-го типа помещение объекта контроля в досмотровую камеру и его извлечение производятся через специальную защитную дверцу. Установка оснащается блокировкой, исключающей возможность генерации рентгеновского излучения при не полностью закрытой дверце.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3.3. ИДК должны обеспечивать выполнение следующих требований: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1) ИДК обеспечивают радиационную безопасность на рабочих местах в соответствии с требованиями пункта 3.1 НРБ-99/2009;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2) радиационная защита окружающих людей при работе ИДК обеспечивается при любых допустимых режимах их эксплуатации за счет размещения ИДК в помещениях, обеспечивающих необходимое ослабление излучения (далее - досмотровый зал), и (или) за счет установления вокруг ИДК зоны ограничения доступа, за пределами которой выполняются условия радиационной безопасности. ИДК оснащаются системой видеонаблюдения за зоной ограничения доступа и (или) досмотровым залом;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3) в ИДК должно предусматриваться наличие световой и звуковой сигнализации о работе (видимой и слышимой в пределах зоны ограничения доступа);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4) ИДК должны оснащаться блокировками, исключающими возможность включения генерации излучения или прекращающие генерацию излучения при: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остановке процесса сканирования;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незакрытых дверях или защитных воротах досмотрового зала;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превышении контрольных уровней излучения на рабочих местах персонала;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пересечении объектом границы зоны ограничения доступа.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5) ИДК должны оснащаться световой сигнализацией (светофор), разрешающей или запрещающей въезд контролируемого объекта в зону контроля;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6) в зоне контроля (досмотровом зале) ИДК должны предусматриваться устройства (например: кнопки, растяжки) для выключения генерации излучения в аварийных ситуациях;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7) для ИДК 1-го типа допускается сканирование транспортного средства вместе с водителем при его добровольном согласии, если эффективная доза за сканирование, получаемая водителем во время проведения контроля управляемого им автомобиля, не превышает 0,3 мкЗв. Сканирование автомобиля с пассажирами не допускается.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3.4. НЛДУ должны обеспечивать выполнение следующих требований: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1) в НЛДУ должно предусматриваться наличие световой и (или) звуковой сигнализации о работе;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2) защита окружающих людей при работе переносных НЛДУ, не имеющих радиационной защиты, должна обеспечиваться при любых допустимых режимах их эксплуатации за счет размещения НЛДУ в досмотровом зале и (или) за счет установления вокруг НЛДУ при их работе зоны ограничения доступа, за пределами которой выполняются условия радиационной безопасности;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3) переносные НЛДУ должны обеспечиваться возможностью их включения и выключения оператором с безопасного расстояния (соединительный кабель с кнопкой включения, система дистанционного управления). Мощность амбиентного эквивалента дозы излучения на рабочем месте оператора при работе НЛДУ не должна превышать 10 мкЗв/ч;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4) в стационарных НЛДУ нейтронный источник и объект контроля должны размещаться в досмотровой камере, окруженной радиационной защитой;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5) мощность амбиентного эквивалента дозы на расстоянии 1 м от поверхности стационарных НЛДУ при их работе не должна превышать 20 мкЗв/ч. Для НЛДУ, содержащих закрытый радионуклидный источник нейтронов, это требование должно выполняться как при работе НЛДУ, так и при нахождении их в положении хранения.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3.5. На внешней поверхности ЛДУ, а также на внешней поверхности радиационной защиты имеющихся в ее составе источников ионизирующего излучения должны быть нанесены знаки радиационной опасности.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301C14">
        <w:rPr>
          <w:sz w:val="22"/>
          <w:szCs w:val="22"/>
        </w:rPr>
        <w:t>IV. ПРОВЕДЕНИЕ РАБОТ С ЛДУ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301C14">
        <w:rPr>
          <w:sz w:val="22"/>
          <w:szCs w:val="22"/>
        </w:rPr>
        <w:t>Общие требования к проведению работ с ЛДУ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4.1. Организациями, осуществляющими работы с ЛДУ, а также персоналом этих организаций обеспечивается безопасность эксплуатации ЛДУ (выполнение установленных требований безопасности при работе на установках; наличие блокировок и сигнализации, предупреждающей об опасности облучения; проведение радиационного контроля).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4.1.1. Все стационарные ЛДУ размещаются в соответствии с проектом, соответствующим требованиям НРБ-99/2009, ОСПОРБ-99/2010 и Санитарных правил, разработанным проектной организацией, имеющей лицензию на осуществление деятельности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 &lt;4&gt;.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--------------------------------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</w:pPr>
      <w:r w:rsidRPr="00301C14">
        <w:t>&lt;4&gt; Пункт 39 статьи 12 Федерального закона от 04.05.2011 N 99-ФЗ; постановление Правительства Российской Федерации от 02.04.2012 N 278; пункт 3.4.2 ОСПОРБ-99/2010.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4.1.2. Работа со стационарными ЛДУ разрешается только в помещениях, указанных в санитарно-эпидемиологическом заключении &lt;5&gt;.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--------------------------------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</w:pPr>
      <w:r w:rsidRPr="00301C14">
        <w:t>&lt;5&gt; Статья 27 Федерального закона от 30.03.1999 N 52-ФЗ "О санитарно-эпидемиологическом благополучии населения"; пункт 3.4.3 ОСПОРБ-99/2010.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4.1.3. Для мобильных ЛДУ проект размещения не требуется.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4.1.4. Для хранения мобильных ЛДУ используются специальные помещения (боксы), обеспечивающие сохранность этих ЛДУ и исключающие возможность несанкционированного использования.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Выдача мобильных ЛДУ из мест хранения для проведения работ производится ответственным лицом организации, осуществляющей работы с ЛДУ, по письменному разрешению руководителя этой организации или уполномоченного им лица.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4.1.5. При планировании проведения работ с мобильными ЛДУ, на которую распространяется действие санитарно-эпидемиологического заключения &lt;6&gt;, вне организации, осуществляющей работу с ЛДУ, руководитель такой организации предварительно оповещает об этом (в письменной форме) территориальные органы, осуществляющие федеральный государственный санитарно-эпидемиологический надзор по месту планируемого проведения работ с источником в соответствии с пунктом 3.4.7 ОСПОРБ-99/2010. Оформление нового санитарно-эпидемиологического заключения по месту планируемого проведения работ не требуется, если не предусмотрена организация временного хранилища источника излучения.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--------------------------------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</w:pPr>
      <w:r w:rsidRPr="00301C14">
        <w:t>&lt;6&gt; Статья 27 Федерального закона от 30.03.1999 N 52-ФЗ "О санитарно-эпидемиологическом благополучии населения"; пункт 3.4.3 ОСПОРБ-99/2010.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В случае если схема размещения мобильной ЛДУ не соответствует схеме размещения, предусмотренной ее технической документацией, необходимо получить санитарно-эпидемиологическое заключение на условия работы с мобильной ЛДУ, отличающиеся от стандартной схемы размещения &lt;7&gt;. При этом должно быть обосновано соблюдение условий радиационной безопасности при предлагаемой схеме размещения мобильной ЛДУ.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--------------------------------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</w:pPr>
      <w:r w:rsidRPr="00301C14">
        <w:t>&lt;7&gt; Статья 27 Федерального закона от 30.03.1999 N 52-ФЗ "О санитарно-эпидемиологическом благополучии населения".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4.1.6. С периодичностью, определяемой технической документацией на ЛДУ, должен проводиться внешний осмотр установки, должны проверяться электроизмерительные приборы, состояние заземления, изоляции, работоспособность систем блокировки и сигнализации.</w:t>
      </w:r>
    </w:p>
    <w:p w:rsidR="0006171C" w:rsidRDefault="0006171C" w:rsidP="00301C14">
      <w:pPr>
        <w:pStyle w:val="ConsPlusNormal"/>
        <w:spacing w:line="300" w:lineRule="atLeast"/>
        <w:jc w:val="both"/>
        <w:rPr>
          <w:sz w:val="22"/>
          <w:szCs w:val="22"/>
          <w:lang w:val="en-US"/>
        </w:rPr>
      </w:pP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  <w:lang w:val="en-US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301C14">
        <w:rPr>
          <w:sz w:val="22"/>
          <w:szCs w:val="22"/>
        </w:rPr>
        <w:t>Требования к проведению работ с РУДБТ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4.2. Организация, осуществляющая работы с РУДБТ, в местах размещения стационарных РУДБТ должна покрывать пол электроизолирующим материалом. Рабочие места персонала РУДБТ размещаются в том же помещении, что и РУДБТ. Специальные требования к вентиляции помещения не предъявляются.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4.2.1. При работе РУДБТ мощность амбиентного эквивалента дозы рентгеновского излучения на расстоянии 0,1 м от ее внешней поверхности не должна превышать 2,5 мкЗв/ч, а на постоянных рабочих местах лиц, не отнесенных к персоналу группы А &lt;8&gt; или Б &lt;9&gt;, - 0,5 мкЗв/ч.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--------------------------------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</w:pPr>
      <w:r w:rsidRPr="00301C14">
        <w:t>&lt;8&gt; Пункт 3.4.11 главы III, пункт 54 приложения 8 ОСПОРБ-99/2010.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</w:pPr>
      <w:r w:rsidRPr="00301C14">
        <w:t>&lt;9&gt; Пункт 54 приложения 8 ОСПОРБ-99/2010.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301C14">
        <w:rPr>
          <w:sz w:val="22"/>
          <w:szCs w:val="22"/>
        </w:rPr>
        <w:t>Требования к проведению работ с ИДК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4.3. Организация, осуществляющая работы с ИДК, при досмотре транспортных средств эти ИДК размещает на специальной площадке и создает зону ограниченного доступа вокруг этих транспортных средств. Внешний периметр этой зоны обеспечивается техническими средствами ограничения доступа людей при работе ИДК (ограждение) или средствами прекращения генерации излучения при входе людей в эту зону.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4.3.1. Границы зоны ограничения доступа должны устанавливаться так, чтобы при любом допустимом режиме работы ИДК максимальное значение амбиентного эквивалента дозы в любой точке на границе зоны ограничения доступа за 1 час работы ИДК при максимальной интенсивности досмотра с учетом технических характеристик ИДК не превышала 1,0 мкЗв.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4.3.2. В качестве максимальной дозы за час работы ИДК принимают значение амбиентного эквивалента дозы в данной точке за одно сканирование, умноженное на максимальное число сканирований в час, определяемое техническими характеристиками ИДК.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4.3.3. При размещении стационарных ИДК в досмотровом зале, обеспечивающем максимальную дозу излучения за час работы ИДК не более 1 мкЗв на внешней поверхности стен, зона ограничения доступа ограничивается стенами досмотрового зала.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301C14">
        <w:rPr>
          <w:sz w:val="22"/>
          <w:szCs w:val="22"/>
        </w:rPr>
        <w:t>Требования к проведению работ с НЛДУ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4.4. Организация, осуществляющая работы с НЛДУ, при работе с переносной НЛДУ (для обеспечения радиационной безопасности окружающих лиц) создает зону ограниченного доступа вокруг этой НЛДУ, за пределами которой мощность амбиентного эквивалента дозы излучения при работе НЛДУ не превышает 1 мкЗв/ч. Доступ посторонних людей в эту зону при работе НЛДУ должен быть исключен.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4.4.1. Работа с переносной НЛДУ производится двумя сотрудниками, отнесенными к персоналу группы А: первый - находится у пульта управления, второй - следит за отсутствием посторонних лиц в зоне ограничения доступа.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4.4.2. Работа со стационарной НЛДУ проводится в отдельном помещении, исключающем доступ посторонних лиц и обеспечивающем радиационную защиту смежных помещений в соответствии с требованиями НРБ-99/2009 и ОСПОРБ-99/2010.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4.4.3. При мощности амбиентного эквивалента дозы на расстоянии 1 м от НЛДУ не более 1 мкЗв/ч, НЛДУ может размещаться в любом производственном помещении. Специальных требований к данному помещению в этом случае не предъявляется.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4.4.4. При работе НЛДУ мощность амбиентного эквивалента дозы на рабочем месте оператора не должна превышать 10 мкЗв/ч, на рабочих местах персонала группы Б - 2,5 мкЗв/ч, а на рабочих местах лиц, не отнесенных к персоналу группы А или Б, - 0,5 мкЗв/ч.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301C14">
        <w:rPr>
          <w:sz w:val="22"/>
          <w:szCs w:val="22"/>
        </w:rPr>
        <w:t>V. РАДИАЦИОННЫЙ КОНТРОЛЬ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5.1. Радиационный контроль в организациях, проводящих работы с ЛДУ, должен обеспечивать получение информации о радиационной обстановке в помещениях, в которых расположены данные установки, смежных с ними помещениях, на рабочих местах, в местах возможного нахождения людей, а также о дозах облучения персонала.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5.2. Программа радиационного контроля &lt;10&gt; в организации, в которой планируется обращение с источниками излучения, разрабатывается на стадии проектирования. В проекте радиационного объекта должны быть определены виды, объем и порядок проведения контроля, перечень технических средств и штат работников, необходимых для его осуществления.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--------------------------------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</w:pPr>
      <w:r w:rsidRPr="00301C14">
        <w:t>&lt;10&gt; Пункт 2.4.4 ОСПОРБ-99/2010.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Виды и объем радиационного контроля могут уточняться организацией, в которой планируется обращение с источниками излучения, в зависимости от конкретной радиационной обстановки в данной организации и на прилегающей территории.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5.3. Контроль индивидуальных доз внешнего облучения персонала группы А, работающего с ЛДУ, должен проводиться с использованием индивидуальных дозиметров, которые персонал группы А обязан носить постоянно. Регистрация результатов проводится ответственным лицом организации, осуществляющей работы с ЛДУ, ежеквартально.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5.4. В помещениях, в которых эксплуатируются РУДБТ, проводится периодический радиационный контроль, который должен включать: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1) контроль мощности амбиентного эквивалента дозы рентгеновского излучения на наружной поверхности установки (при вводе в эксплуатацию и каждый раз после проведения ремонтных работ, но не реже 1 раза в год);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2) контроль мощности амбиентного эквивалента дозы рентгеновского излучения на рабочих местах персонала (при вводе в эксплуатацию и каждый раз после проведения ремонтных работ, но не реже 1 раза в год);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3) контроль мощности амбиентного эквивалента дозы рентгеновского излучения на расположенных на расстоянии менее 2 м от РУДБТ рабочих местах лиц, не отнесенных к персоналу группы А или Б (при вводе в эксплуатацию и каждый раз после проведения ремонтных работ, но не реже 1 раза в год).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5.5. Для образцов РУДБТ, допускающих регулирование параметров генерации пучка рентгеновского излучения (анодное напряжение рентгеновской трубки, анодный ток), радиационный контроль должен проводиться при максимальных рабочих значениях параметров.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5.6. При проведении радиационного контроля в РУДБТ должен устанавливаться имитатор объекта контроля.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5.7. Для измерения мощности амбиентного эквивалента дозы рентгеновского излучения используют дозиметры рентгеновского излучения, имеющие действующее свидетельство о поверке &lt;11&gt; и позволяющие измерять мощность амбиентного эквивалента дозы рентгеновского излучения с энергией от 20 до 500 кэВ в диапазоне от 0,1 до 100 мкЗв/ч.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--------------------------------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</w:pPr>
      <w:r w:rsidRPr="00301C14">
        <w:t>&lt;11&gt; Федеральный закон от 26.06.2008 N 102-ФЗ "Об обеспечении единства измерений" (Собрание законодательства Российской Федерации, 2008, N 26, ст. 3021; 2011, N 30 (ч. 1), ст. 4590; N 49 (ч. 1), ст. 7025; 2012, N 31, ст. 4322; 2013, N 49 (ч. I), ст. 6339; 2014, N 26 (ч. I), ст. 3366; N 30 (ч. I), ст. 4255; 2015, N 29 (ч. I), ст. 4359) (далее - Федеральный закон от 26.06.2008 N 102-ФЗ).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5.8. Для проведения измерений индивидуальных доз внешнего облучения персонала, работающего с РУДБТ, используют индивидуальные дозиметры, имеющие действующее свидетельство о поверке &lt;12&gt; и позволяющие измерять индивидуальный эквивалент дозы рентгеновского излучения с энергией от 20 до 500 кэВ в диапазоне от 0,1 до 200 мЗв.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--------------------------------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</w:pPr>
      <w:r w:rsidRPr="00301C14">
        <w:t>&lt;12&gt; Федеральный закон от 26.06.2008 N 102-ФЗ.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5.9. На границе зоны ограничения доступа ИДК, а также на рабочих местах персонала и лиц, не отнесенных к персоналу группы А или Б, проводится периодический радиационный контроль. Он должен включать: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1) контроль амбиентного эквивалента дозы за сканирование на границе зоны ограничения доступа (при вводе в эксплуатацию и каждый раз после проведения ремонтных работ, но не реже 1 раза в год);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2) контроль мощности амбиентного эквивалента дозы излучения на рабочих местах персонала при сканировании (при вводе в эксплуатацию и каждый раз после проведения ремонтных работ, но не реже 1 раза в год);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3) контроль мощности амбиентного эквивалента дозы излучения на рабочих местах лиц, не отнесенных к персоналу группы А или Б, при сканировании (при вводе в эксплуатацию и каждый раз после проведения ремонтных работ, но не реже 1 раза в год);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4) контроль амбиентного эквивалента дозы за сканирование для мобильного ИДК на границе зоны ограничения доступа в зоне прямого пучка излучения (каждый раз после развертывания мобильного ИДК из транспортного положения в рабочее).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При использовании ИДК, осуществляющих сканирование автомобилей с водителем, дополнительно проводят контроль дозы облучения водителя за сканирование (ежедневно).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5.10. Радиационный контроль на границе зоны ограничения доступа должен проводиться без объекта контроля. В каждой точке измеряется амбиентный эквивалент дозы за сканирование.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5.11. Для проведения радиационного контроля на ИДК должны использоваться дозиметры рентгеновского и гамма-излучения, имеющие действующее свидетельство о поверке &lt;13&gt; и удовлетворяющие следующим техническим требованиям: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--------------------------------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</w:pPr>
      <w:r w:rsidRPr="00301C14">
        <w:t>&lt;13&gt; Федеральный закон от 26.06.2008 N 102-ФЗ.</w:t>
      </w:r>
    </w:p>
    <w:p w:rsidR="0006171C" w:rsidRPr="00301C14" w:rsidRDefault="0006171C" w:rsidP="00301C14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1) нижняя граница энергетического диапазона не более 20 кэВ;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2) верхняя граница энергетического диапазона не менее 10 МэВ;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3) возможность измерения импульсного фотонного излучения с длительностью импульса более 1,0 мкс;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4) наличие режимов измерения мощности амбиентного эквивалента дозы и амбиентного эквивалента дозы;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5) нижняя граница диапазона измерения мощности амбиентного эквивалента дозы импульсного фотонного излучения не более 0,1 мкЗв/ч;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6) нижняя граница диапазона измерения амбиентного эквивалента дозы импульсного и постоянного фотонного излучения не более 0,01 мкЗв.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5.12. Контроль индивидуальных доз внешнего облучения персонала группы А, работающего с ИДК, должен осуществляться с использованием индивидуальных дозиметров, позволяющих измерять дозу импульсного и постоянного фотонного излучения в энергетическом диапазоне от 20 кэВ до 10 МэВ, например, ТЛД дозиметров на основе фтористого лития.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5.13. На границе зоны ограничения доступа НЛДУ, на рабочих местах персонала и лиц, не отнесенных к персоналу группы А или Б, а также в смежных помещениях проводится периодический радиационный контроль. Он должен включать: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1) контроль мощности амбиентного эквивалента дозы нейтронного и гамма-излучения на границе зоны ограничения доступа (при вводе в эксплуатацию и каждый раз после проведения ремонтных работ, но не реже 1 раза в год);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2) контроль мощности амбиентного эквивалента дозы нейтронного и гамма-излучения в смежных помещениях при размещении НЛДУ в отдельном помещении (при вводе в эксплуатацию и каждый раз после проведения ремонтных работ, но не реже 1 раза в год);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3) контроль мощности амбиентного эквивалента дозы нейтронного и гамма-излучения на рабочих местах персонала (при вводе в эксплуатацию и каждый раз после проведения ремонтных работ, но не реже 1 раза в год);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4) контроль мощности амбиентного эквивалента дозы нейтронного и гамма-излучения на рабочих местах лиц, не отнесенных к персоналу группы А или Б (при вводе в эксплуатацию и каждый раз после проведения ремонтных работ, но не реже 1 раза в год);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5) контроль мощности амбиентного эквивалента дозы нейтронного и гамма-излучения на расстоянии 1 м от поверхности НЛДУ (при вводе в эксплуатацию и каждый раз после проведения ремонтных работ, но не реже 1 раза в год).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5.14. Для проведения радиационного контроля на НЛДУ должны использоваться дозиметры нейтронного излучения и дозиметры гамма-излучения, имеющие действующее свидетельство о поверке и удовлетворяющие следующим техническим требованиям: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1) дозиметры гамма-излучения: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нижняя граница энергетического диапазона не более 50 кэВ;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верхняя граница энергетического диапазона не менее 3 МэВ;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нижняя граница диапазона измерения мощности амбиентного эквивалента дозы не более 0,05 мкЗв/ч;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2) дозиметры нейтронного излучения: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нижняя граница энергетического диапазона - 0,025 эВ;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верхняя граница энергетического диапазона - 14 МэВ;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нижняя граница диапазона измерения мощности амбиентного эквивалента дозы не более 0,05 мкЗв/ч.</w:t>
      </w:r>
    </w:p>
    <w:p w:rsidR="0006171C" w:rsidRPr="00301C14" w:rsidRDefault="0006171C" w:rsidP="00301C1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01C14">
        <w:rPr>
          <w:sz w:val="22"/>
          <w:szCs w:val="22"/>
        </w:rPr>
        <w:t>5.15. Контроль индивидуальных доз внешнего облучения персонала группы А, работающего с НЛДУ, должен осуществляться с использованием индивидуальных дозиметров, позволяющих измерять персональный эквивалент дозы нейтронного и гамма-излучения.</w:t>
      </w:r>
    </w:p>
    <w:sectPr w:rsidR="0006171C" w:rsidRPr="00301C14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71C" w:rsidRDefault="0006171C">
      <w:r>
        <w:separator/>
      </w:r>
    </w:p>
  </w:endnote>
  <w:endnote w:type="continuationSeparator" w:id="0">
    <w:p w:rsidR="0006171C" w:rsidRDefault="000617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71C" w:rsidRDefault="0006171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71C" w:rsidRDefault="0006171C" w:rsidP="00DF5729">
    <w:pPr>
      <w:jc w:val="center"/>
      <w:rPr>
        <w:sz w:val="2"/>
        <w:szCs w:val="2"/>
      </w:rPr>
    </w:pPr>
  </w:p>
  <w:p w:rsidR="0006171C" w:rsidRDefault="0006171C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71C" w:rsidRDefault="0006171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71C" w:rsidRDefault="0006171C">
      <w:r>
        <w:separator/>
      </w:r>
    </w:p>
  </w:footnote>
  <w:footnote w:type="continuationSeparator" w:id="0">
    <w:p w:rsidR="0006171C" w:rsidRDefault="000617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71C" w:rsidRDefault="0006171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71C" w:rsidRDefault="0006171C" w:rsidP="00DF5729">
    <w:pPr>
      <w:jc w:val="center"/>
      <w:rPr>
        <w:sz w:val="2"/>
        <w:szCs w:val="2"/>
      </w:rPr>
    </w:pPr>
  </w:p>
  <w:p w:rsidR="0006171C" w:rsidRDefault="0006171C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06171C" w:rsidRDefault="0006171C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06171C" w:rsidRPr="00DC174E" w:rsidRDefault="0006171C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06171C" w:rsidRPr="00DC174E" w:rsidRDefault="0006171C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06171C" w:rsidRPr="00DC174E" w:rsidRDefault="0006171C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06171C" w:rsidRDefault="0006171C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71C" w:rsidRDefault="0006171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6171C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01C14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854060"/>
    <w:rsid w:val="008A40F2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49BA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49BA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49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04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10</Pages>
  <Words>4274</Words>
  <Characters>24366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14 ноября 2017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2017-11-20T20:40:00Z</dcterms:created>
  <dcterms:modified xsi:type="dcterms:W3CDTF">2017-11-20T20:40:00Z</dcterms:modified>
</cp:coreProperties>
</file>