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4B" w:rsidRPr="008235E3" w:rsidRDefault="00F1144B" w:rsidP="0064102F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8235E3">
        <w:rPr>
          <w:sz w:val="22"/>
          <w:szCs w:val="22"/>
        </w:rPr>
        <w:t>ФЕДЕРАЛЬНАЯ СЛУЖБА ПО ЭКОЛОГИЧЕСКОМУ, ТЕХНОЛОГИЧЕСКОМУ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И АТОМНОМУ НАДЗОРУ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ПРИКАЗ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 xml:space="preserve">от 15 ноября </w:t>
      </w:r>
      <w:smartTag w:uri="urn:schemas-microsoft-com:office:smarttags" w:element="metricconverter">
        <w:smartTagPr>
          <w:attr w:name="ProductID" w:val="2018 г"/>
        </w:smartTagPr>
        <w:r w:rsidRPr="008235E3">
          <w:rPr>
            <w:sz w:val="22"/>
            <w:szCs w:val="22"/>
          </w:rPr>
          <w:t>2018 г</w:t>
        </w:r>
      </w:smartTag>
      <w:r w:rsidRPr="008235E3">
        <w:rPr>
          <w:sz w:val="22"/>
          <w:szCs w:val="22"/>
        </w:rPr>
        <w:t>. N 567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ОБ УТВЕРЖДЕНИИ РУКОВОДСТВА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ПО БЕЗОПАСНОСТИ "РЕКОМЕНДАЦИИ ПО ПОРЯДКУ ВРЕМЕННОГО ВЫВОДА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ИЗ ЭКСПЛУАТАЦИИ ТЕХНИЧЕСКИХ УСТРОЙСТВ И СООРУЖЕНИЙ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НА ОПАСНЫХ ПРОИЗВОДСТВЕННЫХ ОБЪЕКТАХ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НЕФТЕГАЗОВОГО КОМПЛЕКСА"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В соответствии с пунктом 2 статьи 10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8235E3">
          <w:rPr>
            <w:sz w:val="22"/>
            <w:szCs w:val="22"/>
          </w:rPr>
          <w:t>1997 г</w:t>
        </w:r>
      </w:smartTag>
      <w:r w:rsidRPr="008235E3">
        <w:rPr>
          <w:sz w:val="22"/>
          <w:szCs w:val="22"/>
        </w:rPr>
        <w:t xml:space="preserve">. N 116-ФЗ "О промышленной безопасности опасных производственных объектов" (Собрание законодательства Российской Федерации, 1997, N 30, ст. 3588; 2017, N 11, ст. 1540), а также в целях содействия соблюдению требований Федеральных норм и правил в области промышленной безопасности "Правила безопасности в нефтяной и газовой промышленности", утвержденных приказом Ростехнадзора от 12 марта </w:t>
      </w:r>
      <w:smartTag w:uri="urn:schemas-microsoft-com:office:smarttags" w:element="metricconverter">
        <w:smartTagPr>
          <w:attr w:name="ProductID" w:val="2013 г"/>
        </w:smartTagPr>
        <w:r w:rsidRPr="008235E3">
          <w:rPr>
            <w:sz w:val="22"/>
            <w:szCs w:val="22"/>
          </w:rPr>
          <w:t>2013 г</w:t>
        </w:r>
      </w:smartTag>
      <w:r w:rsidRPr="008235E3">
        <w:rPr>
          <w:sz w:val="22"/>
          <w:szCs w:val="22"/>
        </w:rPr>
        <w:t xml:space="preserve">. N 101 (зарегистрирован Министерством юстиции Российской Федерации 19 апреля </w:t>
      </w:r>
      <w:smartTag w:uri="urn:schemas-microsoft-com:office:smarttags" w:element="metricconverter">
        <w:smartTagPr>
          <w:attr w:name="ProductID" w:val="2013 г"/>
        </w:smartTagPr>
        <w:r w:rsidRPr="008235E3">
          <w:rPr>
            <w:sz w:val="22"/>
            <w:szCs w:val="22"/>
          </w:rPr>
          <w:t>2013 г</w:t>
        </w:r>
      </w:smartTag>
      <w:r w:rsidRPr="008235E3">
        <w:rPr>
          <w:sz w:val="22"/>
          <w:szCs w:val="22"/>
        </w:rPr>
        <w:t>., регистрационный N 28222), приказываю: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утвердить прилагаемое </w:t>
      </w:r>
      <w:hyperlink w:anchor="Par29" w:tooltip="РУКОВОДСТВО" w:history="1">
        <w:r w:rsidRPr="008235E3">
          <w:rPr>
            <w:sz w:val="22"/>
            <w:szCs w:val="22"/>
          </w:rPr>
          <w:t>Руководство</w:t>
        </w:r>
      </w:hyperlink>
      <w:r w:rsidRPr="008235E3">
        <w:rPr>
          <w:sz w:val="22"/>
          <w:szCs w:val="22"/>
        </w:rPr>
        <w:t xml:space="preserve"> по безопасности "Рекомендации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комплекса".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Руководитель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А.В.АЛЕШИН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235E3">
        <w:rPr>
          <w:sz w:val="22"/>
          <w:szCs w:val="22"/>
        </w:rPr>
        <w:t>Утверждено</w:t>
      </w:r>
    </w:p>
    <w:p w:rsidR="00F1144B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приказом Федеральной службы</w:t>
      </w:r>
      <w:r>
        <w:rPr>
          <w:sz w:val="22"/>
          <w:szCs w:val="22"/>
        </w:rPr>
        <w:t xml:space="preserve"> </w:t>
      </w:r>
      <w:r w:rsidRPr="008235E3">
        <w:rPr>
          <w:sz w:val="22"/>
          <w:szCs w:val="22"/>
        </w:rPr>
        <w:t>по экологическому,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технологическому</w:t>
      </w:r>
      <w:r>
        <w:rPr>
          <w:sz w:val="22"/>
          <w:szCs w:val="22"/>
        </w:rPr>
        <w:t xml:space="preserve"> </w:t>
      </w:r>
      <w:r w:rsidRPr="008235E3">
        <w:rPr>
          <w:sz w:val="22"/>
          <w:szCs w:val="22"/>
        </w:rPr>
        <w:t>и атомному надзору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 xml:space="preserve">от </w:t>
      </w:r>
      <w:r>
        <w:rPr>
          <w:sz w:val="22"/>
          <w:szCs w:val="22"/>
        </w:rPr>
        <w:t>15.11</w:t>
      </w:r>
      <w:r w:rsidRPr="008235E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235E3">
          <w:rPr>
            <w:sz w:val="22"/>
            <w:szCs w:val="22"/>
          </w:rPr>
          <w:t>201</w:t>
        </w:r>
        <w:r>
          <w:rPr>
            <w:sz w:val="22"/>
            <w:szCs w:val="22"/>
          </w:rPr>
          <w:t>8</w:t>
        </w:r>
        <w:r w:rsidRPr="008235E3">
          <w:rPr>
            <w:sz w:val="22"/>
            <w:szCs w:val="22"/>
          </w:rPr>
          <w:t xml:space="preserve"> г</w:t>
        </w:r>
      </w:smartTag>
      <w:r w:rsidRPr="008235E3">
        <w:rPr>
          <w:sz w:val="22"/>
          <w:szCs w:val="22"/>
        </w:rPr>
        <w:t xml:space="preserve">. N </w:t>
      </w:r>
      <w:r>
        <w:rPr>
          <w:sz w:val="22"/>
          <w:szCs w:val="22"/>
        </w:rPr>
        <w:t>567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9"/>
      <w:bookmarkEnd w:id="0"/>
      <w:r w:rsidRPr="008235E3">
        <w:rPr>
          <w:sz w:val="22"/>
          <w:szCs w:val="22"/>
        </w:rPr>
        <w:t>РУКОВОДСТВО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ПО БЕЗОПАСНОСТИ "РЕКОМЕНДАЦИИ ПО ПОРЯДКУ ВРЕМЕННОГО ВЫВОДА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ИЗ ЭКСПЛУАТАЦИИ ТЕХНИЧЕСКИХ УСТРОЙСТВ И СООРУЖЕНИЙ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НА ОПАСНЫХ ПРОИЗВОДСТВЕННЫХ ОБЪЕКТАХ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НЕФТЕГАЗОВОГО КОМПЛЕКСА"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8235E3">
        <w:rPr>
          <w:sz w:val="22"/>
          <w:szCs w:val="22"/>
        </w:rPr>
        <w:t>I. ОБЩИЕ ПОЛОЖЕНИЯ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1. Руководство по безопасности "Рекомендации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комплекса" (далее - Руководство) разработано с учетом требований Федерального закона "О промышленной безопасности опасных производственных объектов" от 21.06.1997 N 116-ФЗ, Федеральных норм и правил в области промышленной безопасности "Правила безопасности в нефтяной и газовой промышленности", утвержденных приказом Ростехнадзора от 12.03.2013 N 101, Федеральных норм и правил в области промышленной безопасности "Правила промышленной безопасности опасных </w:t>
      </w:r>
      <w:r w:rsidRPr="008235E3">
        <w:rPr>
          <w:sz w:val="22"/>
          <w:szCs w:val="22"/>
        </w:rPr>
        <w:lastRenderedPageBreak/>
        <w:t>производственных объектов, на которых используется оборудование, работающее под избыточным давлением", утвержденных приказом Ростехнадзора от 25.03.2014 N 116,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трубопроводов", утвержденных приказом Ростехнадзора от 06.11.2013 N 520, "Положения о Федеральной службе по экологическому, технологическому и атомному надзору", утвержденное Постановлением Правительства РФ от 30.07.2004 N 401.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2. Руководство содержит рекомендации по комплексу мероприятий, необходимых для обеспечения безопасности на период временного вывода из эксплуатации технических устройств (далее - ТУ) и/или сооружений на опасных производственных объектах (далее - ОПО) обустройства месторождений для добычи, сбора, подготовки, хранения нефти, газа и газового конденсата, магистральных трубопроводов и разработано в целях снижения степени аварийной опасности ОПО при временном выводе из эксплуатации ТУ и/или сооружений, в том числе: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обеспечения надежной и безаварийной эксплуатации ОПО;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установления, ранее не регламентированных, единых требований к временному выводу из эксплуатации технических устройств и сооружений на ОПО нефтегазодобывающего комплекса, что позволит заблаговременно предупредить угрозу причинения вреда жизни, здоровью людей, имуществу и окружающей среде;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проведения оценки достаточности специальных мер по снижению риска аварий в переходный период;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содействия соблюдению требований федеральных норм и правил в области промышленной безопасности.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3. Рекомендации Руководства не распространяются на временный вывод из эксплуатации скважин и устьевого оборудования скважин.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4. Действия Руководства распространяются на ТУ и/или сооружения ОПО, временно выводимые из эксплуатации, до момента их ввода в эксплуатацию, ликвидации, реконструкции, модернизации и (или) технического перевооружения.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5. Руководство по безопасности не противоречит действующим федеральным законам, нормативным правовым актам в области промышленной безопасности Российской Федерации и направлено на обеспечение безопасности ОПО.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6. Временный вывод из эксплуатации ТУ и/или сооружений заключается в приостановке их эксплуатации до момента их ввода в эксплуатацию, ликвидации, реконструкции, модернизации и (или) технического перевооружения.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7. Временный вывод из эксплуатации ТУ и/или сооружений на ОПО в зависимости от его продолжительности подразделяется на краткосрочный, среднесрочный и длительный.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8. Краткосрочный вывод из эксплуатации предусматривает временный вывод из эксплуатации ТУ и/или сооружений по производственной необходимости на срок, необходимый для проведения плановых работ: техническое обслуживание, диагностирование, ремонтные работы и т.п.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9. Порядок краткосрочного вывода из эксплуатации ТУ и/или сооружений, их ввода в эксплуатацию, а также меры, обеспечивающие их работоспособность, должны быть изложены в технологическом регламенте конкретного производства и инструкциях по рабочим местам. В случае необходимости возможно переводить из краткосрочного вывода в среднесрочный (длительный) вывод из эксплуатации по результатам проведенных работ по диагностике, ремонту и т.п.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10. Среднесрочный вывод из эксплуатации ТУ и/или сооружений предусматривает временный вывод из эксплуатации ТУ и/или сооружений на период продолжительностью не </w:t>
      </w:r>
      <w:r w:rsidRPr="008235E3">
        <w:rPr>
          <w:sz w:val="22"/>
          <w:szCs w:val="22"/>
        </w:rPr>
        <w:lastRenderedPageBreak/>
        <w:t>более 6 месяцев (с возможностью последующего продления на срок не более 6 месяцев) и осуществление мероприятий, обеспечивающих безопасность, сохранность и работоспособность объекта. Среднесрочный вывод из эксплуатации может проводиться без консервации.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Порядок среднесрочного вывода из эксплуатации ТУ и/или сооружений, их ввода в эксплуатацию, а также меры, обеспечивающие их работоспособность, изложены в </w:t>
      </w:r>
      <w:hyperlink w:anchor="Par57" w:tooltip="II. ПОРЯДОК СРЕДНЕСРОЧНОГО И ДЛИТЕЛЬНОГО ВЫВОДА" w:history="1">
        <w:r w:rsidRPr="008235E3">
          <w:rPr>
            <w:sz w:val="22"/>
            <w:szCs w:val="22"/>
          </w:rPr>
          <w:t>Разделе II</w:t>
        </w:r>
      </w:hyperlink>
      <w:r w:rsidRPr="008235E3">
        <w:rPr>
          <w:sz w:val="22"/>
          <w:szCs w:val="22"/>
        </w:rPr>
        <w:t xml:space="preserve"> настоящего Руководства.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11. Временный вывод из эксплуатации ТУ и/или сооружений на длительный период (далее - длительный вывод из эксплуатации) предусматривает вывод их в плановом порядке из эксплуатации на срок более 6 месяцев с консервацией.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12. Консервация ТУ и/или сооружений предусматривает осуществление комплекса организационных и технических мер, определенных заводом-изготовителем.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13. В случае отсутствия в технической документации требований завода-изготовителя ТУ или сооружения к их консервации (расконсервации), эксплуатирующая организация разрабатывает инструкцию по консервации (расконсервации) для ТУ или сооружения.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14. Допускается одновременно выводить из эксплуатации одно или несколько ТУ и/или сооружений, находящихся в одной технологической схеме (технологический цех, установка, технологическая нитка, оборудование в блочном исполнении, узлы, агрегаты и т.д.), если Временный вывод из эксплуатации ТУ и/или сооружений не повлияет на безопасность ведения технологических процессов производства.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1" w:name="Par57"/>
      <w:bookmarkEnd w:id="1"/>
      <w:r w:rsidRPr="008235E3">
        <w:rPr>
          <w:sz w:val="22"/>
          <w:szCs w:val="22"/>
        </w:rPr>
        <w:t>II. ПОРЯДОК СРЕДНЕСРОЧНОГО И ДЛИТЕЛЬНОГО ВЫВОДА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ИЗ ЭКСПЛУАТАЦИИ ТЕХНИЧЕСКИХ УСТРОЙСТВ И СООРУЖЕНИЙ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15. Среднесрочный и длительный вывод из эксплуатации ТУ и/или сооружений производится: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в случае отсутствия необходимости эксплуатации вследствие исключения ТУ и/или сооружений из технологического процесса работы ОПО;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на период временного простоя по причине, например, отсутствия спроса на продукцию;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на период аварийно-восстановительного ремонта;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до завершения ремонта взаимосвязанных технологических производств в случае необходимости;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на период устранения несоответствий по результатам экспертизы промышленной безопасности;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в случае подготовки объектов (ТУ, сооружений) к ликвидации, реконструкции, модернизации и (или) техническому перевооружению.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16. Для определения длительности временного вывода из эксплуатации, условий содержания ТУ и/или сооружений на период временного вывода из эксплуатации, необходимости выполнения комплекса защитных (специальных) мероприятий в этот период приказом руководителя эксплуатирующей организации создается постоянно-действующая комиссия по временному выводу из эксплуатации ТУ и/или сооружений (далее - Комиссия) в составе: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главный инженер (технический руководитель), председатель Комиссии;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руководители структурных подразделений (отделов и служб) эксплуатирующей организации (производственный отдел, главный механик, главный энергетик, метролог, эколог, бухгалтер и т.п.);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руководители структурного подразделения, в эксплуатационной зоне ответственности которого находится ТУ и сооружения ОПО (начальник цеха, участка).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lastRenderedPageBreak/>
        <w:t xml:space="preserve">17. Руководитель структурного подразделения, в эксплуатационной зоне ответственности которого находится ТУ и сооружения ОПО (начальник цеха, участка) подает на рассмотрение Комиссии предложения по включению оборудования в перечень ТУ и/или сооружений для среднесрочного и длительного вывода из эксплуатации (далее - Перечень). </w:t>
      </w:r>
      <w:hyperlink w:anchor="Par133" w:tooltip="ПЕРЕЧЕНЬ" w:history="1">
        <w:r w:rsidRPr="008235E3">
          <w:rPr>
            <w:sz w:val="22"/>
            <w:szCs w:val="22"/>
          </w:rPr>
          <w:t>Форма</w:t>
        </w:r>
      </w:hyperlink>
      <w:r w:rsidRPr="008235E3">
        <w:rPr>
          <w:sz w:val="22"/>
          <w:szCs w:val="22"/>
        </w:rPr>
        <w:t xml:space="preserve"> Перечня приведена в приложении N 1.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18. После утверждения Перечня, организация, эксплуатирующая ОПО, разрабатывает План мероприятий по временному выводу из эксплуатации ТУ и/или сооружений (далее - План мероприятий). План мероприятий утверждается председателем комиссии.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Мероприятия должны содержать все необходимые ссылки на действующую нормативную документацию, включая отраслевые правила безопасности, стандарты, строительные нормы и правила, другие нормативные документы и инструкции по проведению соответствующих видов работ, а также на паспорта оборудования.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19. План мероприятий должен содержать: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регистрационный номер ОПО в государственном реестре ОПО, наименование, месторасположение и общие технические характеристики ТУ и/или сооружений, которые планируются временно вывести из эксплуатации, вид вывода из эксплуатации (среднесрочный/длительный);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перечень работ, связанных с приведением временного вывода из эксплуатации ТУ и/или сооружения в безопасное состояние, обеспечением работоспособности ТУ и/или сооружений с оформлением необходимых схем, освобождения от продуктов, а также выполнения требований заводов-изготовителей (при наличии);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сроки завершения работ;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мероприятия по периодическому контролю (обслуживанию) оборудования на период длительного вывода из эксплуатации (консервации) в соответствии с руководством по эксплуатации завода изготовителя (при наличии) и указанием лиц ответственных за их проведение;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меры, обеспечивающие безопасность работающих;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перечень изменений в технологический регламент и технологическую схему;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20. Организация, эксплуатирующая ОПО, обеспечивает выполнение работ по временному выводу из эксплуатации ТУ и/или сооружений в соответствии с Планом мероприятий. Изменения, вносимые в план, должны быть утверждены председателем Комиссии.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21. При необходимости проведения работ по среднесрочной и (или) длительной остановке ТУ и/или сооружений с привлечением подрядных организаций, необходимо руководствоваться требованиями действующих типовых инструкций о порядке безопасного проведения ремонтных работ на предприятиях.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22. Среднесрочная и (или) длительная остановки ТУ и/или сооружений осуществляются на основании приказа организации с указанием ТУ и/или сооружений, сроков (длительности) временного вывода из эксплуатации, реквизитов утвержденного Плана мероприятий.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23. При необходимости продления срока среднесрочного вывода из эксплуатации ТУ и/или сооружений организация, эксплуатирующая ОПО, за 20 рабочих дней до истечения срока временного вывода из эксплуатации организует обследование состояния ТУ и/или сооружений, проверяет реализацию мероприятий, предусмотренных ранее утвержденным Планом мероприятий и при отсутствии замечаний к состоянию ТУ и/или сооружений издает приказ о продлении среднесрочного вывода из эксплуатации ТУ и/или сооружений. Срок продления не должен превышать шести месяцев.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24. Руководитель структурного подразделения, в эксплуатационной зоне </w:t>
      </w:r>
      <w:r w:rsidRPr="008235E3">
        <w:rPr>
          <w:sz w:val="22"/>
          <w:szCs w:val="22"/>
        </w:rPr>
        <w:lastRenderedPageBreak/>
        <w:t>ответственности которого находится ТУ и сооружения ОПО (начальник цеха, участка) обеспечивает хранение Плана мероприятий, приказов о временном выводе ТУ и/или сооружений из эксплуатации до их ввода в эксплуатацию, ликвидации, реконструкции, модернизации и (или) технического перевооружения.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25. Ответственность за безопасную реализацию мероприятий по среднесрочному и длительному выводу из эксплуатации ТУ и/или сооружений в полном объеме и в установленный срок возлагается на руководителя эксплуатирующей организации.</w:t>
      </w:r>
    </w:p>
    <w:p w:rsidR="00F1144B" w:rsidRDefault="00F1144B" w:rsidP="0064102F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8235E3">
        <w:rPr>
          <w:sz w:val="22"/>
          <w:szCs w:val="22"/>
        </w:rPr>
        <w:t>III. РЕКОМЕНДАЦИИ ПО ТЕХНИЧЕСКОМУ СОДЕРЖАНИЮ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ТЕХНИЧЕСКИХ УСТРОЙСТВ И СООРУЖЕНИЙ ПРИ СРЕДНЕСРОЧНОМ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И ДЛИТЕЛЬНОМ ВЫВОДЕ ИЗ ЭКСПЛУАТАЦИИ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26. Временно выведенные из эксплуатации ТУ и/или сооружения должны быть приведены в безопасное состояние в соответствии с требованиями Плана мероприятий.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27. ТУ и/или сооружения, временно выводимые из эксплуатации в зависимости от особенностей технологических процессов конкретного производства должны быть остановлены с принятием мер исключающих их самопроизвольное или ошибочное включение, отключены от источников энергии, сброшено давление, освобождены от продукта, промыты, изолированы от задействованного в технологическом процессе оборудования установкой заглушек и при необходимости опломбированы.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28. Временно выведенные из эксплуатации ТУ и/или сооружения должны быть обозначены (вывешены таблички с информацией о периоде временного вывода из эксплуатации), отключены от источников питания электроэнергией видимым разрывом (при наличии напряжения). На пусковых устройствах у оборудования и в электрораспределительных устройствах вывешиваются предупредительные плакаты.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29. В технические паспорта ТУ и/или сооружений вносится соответствующая запись о временном выводе из эксплуатации, в том числе с указанием реквизитов приказа и периода временного вывода из эксплуатации.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30. ТУ и/или сооружения, выведенные в консервацию, должны подвергаться периодическому наружному осмотру (не реже 1 раза в 6 месяцев).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31. Результаты периодических наружных осмотров, законсервированных ТУ и/или сооружений, регистрируются эксплуатирующей организацией и должны быть доступны для подтверждения выполненных работ. Метод и способ регистрации результатов определяется эксплуатирующей организацией.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32. При обнаружении недостатков (несоответствий) технического состояния в ходе периодических осмотров, руководитель структурного подразделения, в эксплуатационной зоне ответственности которого находится ТУ и сооружения ОПО (начальник цеха, участка) обязан выяснить причины их возникновения, организовать разработку и реализацию мероприятий по их устранению.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33. На весь период временного вывода из эксплуатации ТУ и/или сооружений не требуется проведение работ: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связанных с проведением технических освидетельствований, испытаний на прочность и плотность, диагностированием, в том числе проведением экспертиз промышленной безопасности;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по техническому обслуживанию и ремонту, которые регламентируются нормативными документами и технической документацией заводов-изготовителей.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 xml:space="preserve">34. Даты следующего технического освидетельствования, испытания на прочность и плотность, диагностирования, в том числе проведение экспертиз промышленной </w:t>
      </w:r>
      <w:r w:rsidRPr="008235E3">
        <w:rPr>
          <w:sz w:val="22"/>
          <w:szCs w:val="22"/>
        </w:rPr>
        <w:lastRenderedPageBreak/>
        <w:t>безопасности, технических обслуживаний и ремонта, которые регламентируются нормативными документами и технической документацией заводов-изготовителей могут быть продлены на срок, равный сроку временного вывода из эксплуатации.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8235E3">
        <w:rPr>
          <w:sz w:val="22"/>
          <w:szCs w:val="22"/>
        </w:rPr>
        <w:t>IV. ПОРЯДОК ВВОДА В ЭКСПЛУАТАЦИЮ ТЕХНИЧЕСКИХ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УСТРОЙСТВ И СООРУЖЕНИЙ ПРИ СРЕДНЕСРОЧНОМ И ДЛИТЕЛЬНОМ</w:t>
      </w:r>
    </w:p>
    <w:p w:rsidR="00F1144B" w:rsidRPr="008235E3" w:rsidRDefault="00F1144B" w:rsidP="0064102F">
      <w:pPr>
        <w:pStyle w:val="ConsPlusTitle"/>
        <w:spacing w:line="300" w:lineRule="atLeast"/>
        <w:jc w:val="center"/>
        <w:rPr>
          <w:sz w:val="22"/>
          <w:szCs w:val="22"/>
        </w:rPr>
      </w:pPr>
      <w:r w:rsidRPr="008235E3">
        <w:rPr>
          <w:sz w:val="22"/>
          <w:szCs w:val="22"/>
        </w:rPr>
        <w:t>ВЫВОДЕ ИЗ ЭКСПЛУАТАЦИИ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35. После окончания периода временного вывода из эксплуатации ТУ и/или сооружений или возникновения необходимости досрочного их ввода в эксплуатацию. Ввод в эксплуатацию. ТУ и/или сооружений осуществляется в соответствии с мероприятиями по вводу ТУ и/или сооружения в эксплуатацию утвержденными главным инженером эксплуатирующей организации (председателем Комиссии). Если мероприятия по вводу ТУ и/или сооружения в эксплуатацию не были прописаны в плане мероприятий по временному выводу из эксплуатации ТУ и сооружений составляется отдельный План мероприятий по вводу их в эксплуатацию.</w:t>
      </w:r>
    </w:p>
    <w:p w:rsidR="00F1144B" w:rsidRPr="008235E3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36. При выполнении в полном объеме мероприятий по вводу в эксплуатацию ТУ и/или сооружений, руководитель структурного подразделения, в эксплуатационной зоне ответственности которого находится ТУ и сооружения ОПО (начальник цеха, участка) проверяет полноту и качество их выполнения и подписывает Акт готовности к вводу в эксплуатацию, на основании которого ТУ и/или сооружения вводятся в эксплуатацию приказом организации.</w:t>
      </w:r>
    </w:p>
    <w:p w:rsidR="00F1144B" w:rsidRDefault="00F1144B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235E3">
        <w:rPr>
          <w:sz w:val="22"/>
          <w:szCs w:val="22"/>
        </w:rPr>
        <w:t>37. В случае, если ТУ и/или сооружения, временно выведенные из эксплуатации, ранее намечались к проведению диагностирования (или иным мероприятиям, установленным нормативной документацией в области промышленной безопасности или технической документации заводов-изготовителей) все необходимые для этого мероприятия должны быть выполнены до подписания акта готовности.</w:t>
      </w: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910B05" w:rsidRPr="008235E3" w:rsidRDefault="00910B05" w:rsidP="0064102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8235E3">
        <w:rPr>
          <w:sz w:val="22"/>
          <w:szCs w:val="22"/>
        </w:rPr>
        <w:lastRenderedPageBreak/>
        <w:t>Приложение N 1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к Руководству по безопасности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"Рекомендации по порядку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временного вывода из эксплуатации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технических устройств и сооружений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на опасных производственных объектах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нефтегазодобывающего комплекса",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>утвержденному приказом Ростехнадзора</w:t>
      </w:r>
    </w:p>
    <w:p w:rsidR="00F1144B" w:rsidRPr="008235E3" w:rsidRDefault="00F1144B" w:rsidP="0064102F">
      <w:pPr>
        <w:pStyle w:val="ConsPlusNormal"/>
        <w:spacing w:line="300" w:lineRule="atLeast"/>
        <w:jc w:val="right"/>
        <w:rPr>
          <w:sz w:val="22"/>
          <w:szCs w:val="22"/>
        </w:rPr>
      </w:pPr>
      <w:r w:rsidRPr="008235E3">
        <w:rPr>
          <w:sz w:val="22"/>
          <w:szCs w:val="22"/>
        </w:rPr>
        <w:t xml:space="preserve">от </w:t>
      </w:r>
      <w:r>
        <w:rPr>
          <w:sz w:val="22"/>
          <w:szCs w:val="22"/>
        </w:rPr>
        <w:t>15.11</w:t>
      </w:r>
      <w:r w:rsidRPr="008235E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235E3">
          <w:rPr>
            <w:sz w:val="22"/>
            <w:szCs w:val="22"/>
          </w:rPr>
          <w:t>201</w:t>
        </w:r>
        <w:r>
          <w:rPr>
            <w:sz w:val="22"/>
            <w:szCs w:val="22"/>
          </w:rPr>
          <w:t>8</w:t>
        </w:r>
        <w:r w:rsidRPr="008235E3">
          <w:rPr>
            <w:sz w:val="22"/>
            <w:szCs w:val="22"/>
          </w:rPr>
          <w:t xml:space="preserve"> г</w:t>
        </w:r>
      </w:smartTag>
      <w:r w:rsidRPr="008235E3">
        <w:rPr>
          <w:sz w:val="22"/>
          <w:szCs w:val="22"/>
        </w:rPr>
        <w:t xml:space="preserve">. N </w:t>
      </w:r>
      <w:r>
        <w:rPr>
          <w:sz w:val="22"/>
          <w:szCs w:val="22"/>
        </w:rPr>
        <w:t>567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Утверждаю</w:t>
      </w: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_________________________________</w:t>
      </w: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(должность председателя комиссии)</w:t>
      </w: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__________________ ______________</w:t>
      </w: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(подпись)        (Ф.И.О.)</w:t>
      </w:r>
    </w:p>
    <w:p w:rsidR="00F1144B" w:rsidRPr="008235E3" w:rsidRDefault="00F1144B" w:rsidP="0064102F">
      <w:pPr>
        <w:pStyle w:val="ConsPlusNonforma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8235E3">
        <w:rPr>
          <w:rFonts w:ascii="Arial" w:hAnsi="Arial" w:cs="Arial"/>
          <w:sz w:val="22"/>
          <w:szCs w:val="22"/>
        </w:rPr>
        <w:t>"__" ____________ ____ г.</w:t>
      </w:r>
    </w:p>
    <w:p w:rsidR="00F1144B" w:rsidRPr="008235E3" w:rsidRDefault="00F1144B" w:rsidP="0064102F">
      <w:pPr>
        <w:pStyle w:val="ConsPlusNormal"/>
        <w:spacing w:line="300" w:lineRule="atLeast"/>
        <w:jc w:val="center"/>
        <w:rPr>
          <w:rFonts w:ascii="Arial Narrow" w:hAnsi="Arial Narrow"/>
          <w:sz w:val="22"/>
          <w:szCs w:val="22"/>
        </w:rPr>
      </w:pPr>
    </w:p>
    <w:p w:rsidR="00F1144B" w:rsidRPr="00F1144B" w:rsidRDefault="00F1144B" w:rsidP="0064102F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bookmarkStart w:id="2" w:name="Par133"/>
      <w:bookmarkEnd w:id="2"/>
      <w:r w:rsidRPr="00F1144B">
        <w:rPr>
          <w:b/>
          <w:sz w:val="22"/>
          <w:szCs w:val="22"/>
        </w:rPr>
        <w:t>ПЕРЕЧЕНЬ</w:t>
      </w:r>
    </w:p>
    <w:p w:rsidR="00F1144B" w:rsidRPr="00F1144B" w:rsidRDefault="00F1144B" w:rsidP="0064102F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F1144B">
        <w:rPr>
          <w:b/>
          <w:sz w:val="22"/>
          <w:szCs w:val="22"/>
        </w:rPr>
        <w:t>ТЕХНИЧЕСКИХ УСТРОЙСТВ И СООРУЖЕНИЙ ДЛЯ ВРЕМЕННОГО ВЫВОДА</w:t>
      </w:r>
    </w:p>
    <w:p w:rsidR="00F1144B" w:rsidRPr="00F1144B" w:rsidRDefault="00F1144B" w:rsidP="0064102F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F1144B">
        <w:rPr>
          <w:b/>
          <w:sz w:val="22"/>
          <w:szCs w:val="22"/>
        </w:rPr>
        <w:t>ИЗ ЭКСПЛУАТАЦИИ</w:t>
      </w:r>
    </w:p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990"/>
        <w:gridCol w:w="1682"/>
        <w:gridCol w:w="1115"/>
        <w:gridCol w:w="1180"/>
        <w:gridCol w:w="1141"/>
        <w:gridCol w:w="3168"/>
      </w:tblGrid>
      <w:tr w:rsidR="00F1144B" w:rsidRPr="008235E3" w:rsidTr="00641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Подраз</w:t>
            </w:r>
            <w:r>
              <w:rPr>
                <w:sz w:val="22"/>
                <w:szCs w:val="22"/>
              </w:rPr>
              <w:t>-</w:t>
            </w:r>
            <w:r w:rsidRPr="008235E3">
              <w:rPr>
                <w:sz w:val="22"/>
                <w:szCs w:val="22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Место нахождения (наименование промысла, цеха, участка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8235E3">
              <w:rPr>
                <w:sz w:val="22"/>
                <w:szCs w:val="22"/>
              </w:rPr>
              <w:t>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Инвентар</w:t>
            </w:r>
            <w:r>
              <w:rPr>
                <w:sz w:val="22"/>
                <w:szCs w:val="22"/>
              </w:rPr>
              <w:t>-</w:t>
            </w:r>
            <w:r w:rsidRPr="008235E3">
              <w:rPr>
                <w:sz w:val="22"/>
                <w:szCs w:val="22"/>
              </w:rPr>
              <w:t>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Харак</w:t>
            </w:r>
            <w:r>
              <w:rPr>
                <w:sz w:val="22"/>
                <w:szCs w:val="22"/>
              </w:rPr>
              <w:t>-</w:t>
            </w:r>
            <w:r w:rsidRPr="008235E3">
              <w:rPr>
                <w:sz w:val="22"/>
                <w:szCs w:val="22"/>
              </w:rPr>
              <w:t>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Вид временного вывода из эксплуатации (среднесрочный/длительный)</w:t>
            </w:r>
          </w:p>
        </w:tc>
      </w:tr>
      <w:tr w:rsidR="00F1144B" w:rsidRPr="008235E3" w:rsidTr="00641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jc w:val="center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8</w:t>
            </w:r>
          </w:p>
        </w:tc>
      </w:tr>
      <w:tr w:rsidR="00F1144B" w:rsidRPr="008235E3" w:rsidTr="00641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F1144B" w:rsidRPr="008235E3" w:rsidRDefault="00F1144B" w:rsidP="0064102F">
      <w:pPr>
        <w:pStyle w:val="ConsPlusNormal"/>
        <w:spacing w:line="300" w:lineRule="atLeas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86"/>
      </w:tblGrid>
      <w:tr w:rsidR="00F1144B" w:rsidRPr="008235E3" w:rsidTr="0064102F">
        <w:tc>
          <w:tcPr>
            <w:tcW w:w="1985" w:type="dxa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  <w:r w:rsidRPr="008235E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F1144B" w:rsidRPr="008235E3" w:rsidTr="0064102F">
        <w:tc>
          <w:tcPr>
            <w:tcW w:w="1985" w:type="dxa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F1144B" w:rsidRPr="008235E3" w:rsidTr="0064102F">
        <w:tc>
          <w:tcPr>
            <w:tcW w:w="1985" w:type="dxa"/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F1144B" w:rsidRPr="008235E3" w:rsidRDefault="00F1144B" w:rsidP="0064102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F1144B" w:rsidRPr="008235E3" w:rsidRDefault="00F1144B" w:rsidP="0064102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6784E" w:rsidRPr="008D0C54" w:rsidRDefault="0016784E" w:rsidP="008D0C5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sectPr w:rsidR="0016784E" w:rsidRPr="008D0C54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98" w:rsidRDefault="00BA7498">
      <w:r>
        <w:separator/>
      </w:r>
    </w:p>
  </w:endnote>
  <w:endnote w:type="continuationSeparator" w:id="0">
    <w:p w:rsidR="00BA7498" w:rsidRDefault="00BA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98" w:rsidRDefault="00BA7498">
      <w:r>
        <w:separator/>
      </w:r>
    </w:p>
  </w:footnote>
  <w:footnote w:type="continuationSeparator" w:id="0">
    <w:p w:rsidR="00BA7498" w:rsidRDefault="00BA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9D461D" w:rsidRDefault="009D461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910B0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9D461D" w:rsidRDefault="009D461D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A78B7"/>
    <w:rsid w:val="000B5D88"/>
    <w:rsid w:val="000D27C4"/>
    <w:rsid w:val="000D487F"/>
    <w:rsid w:val="000E1864"/>
    <w:rsid w:val="000F59EA"/>
    <w:rsid w:val="0016784E"/>
    <w:rsid w:val="00185AD7"/>
    <w:rsid w:val="001C50DE"/>
    <w:rsid w:val="002328AA"/>
    <w:rsid w:val="00256934"/>
    <w:rsid w:val="002A1F06"/>
    <w:rsid w:val="002A3FB4"/>
    <w:rsid w:val="002F6C7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A6661"/>
    <w:rsid w:val="005F4032"/>
    <w:rsid w:val="006128CA"/>
    <w:rsid w:val="00616E37"/>
    <w:rsid w:val="00632C28"/>
    <w:rsid w:val="0064102F"/>
    <w:rsid w:val="006C2CAC"/>
    <w:rsid w:val="006D6D97"/>
    <w:rsid w:val="00706E08"/>
    <w:rsid w:val="00717D83"/>
    <w:rsid w:val="007205C8"/>
    <w:rsid w:val="00733B63"/>
    <w:rsid w:val="00765D02"/>
    <w:rsid w:val="007A087D"/>
    <w:rsid w:val="00854060"/>
    <w:rsid w:val="008748DD"/>
    <w:rsid w:val="008A40F2"/>
    <w:rsid w:val="008C71D7"/>
    <w:rsid w:val="008D0C54"/>
    <w:rsid w:val="00910B05"/>
    <w:rsid w:val="00924F79"/>
    <w:rsid w:val="00941221"/>
    <w:rsid w:val="00973288"/>
    <w:rsid w:val="009D461D"/>
    <w:rsid w:val="009D6479"/>
    <w:rsid w:val="00AE2558"/>
    <w:rsid w:val="00AE2AB5"/>
    <w:rsid w:val="00B63D76"/>
    <w:rsid w:val="00B740AE"/>
    <w:rsid w:val="00BA7498"/>
    <w:rsid w:val="00C02937"/>
    <w:rsid w:val="00C33643"/>
    <w:rsid w:val="00CA5B60"/>
    <w:rsid w:val="00CA5FB3"/>
    <w:rsid w:val="00D9061B"/>
    <w:rsid w:val="00DC174E"/>
    <w:rsid w:val="00DE00A4"/>
    <w:rsid w:val="00DF5729"/>
    <w:rsid w:val="00E20F14"/>
    <w:rsid w:val="00E3194A"/>
    <w:rsid w:val="00E66425"/>
    <w:rsid w:val="00EB2E3B"/>
    <w:rsid w:val="00ED4976"/>
    <w:rsid w:val="00EE22D0"/>
    <w:rsid w:val="00F1144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17527</CharactersWithSpaces>
  <SharedDoc>false</SharedDoc>
  <HLinks>
    <vt:vector size="18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2018-11-23T01:04:00Z</dcterms:created>
  <dcterms:modified xsi:type="dcterms:W3CDTF">2018-11-23T01:04:00Z</dcterms:modified>
</cp:coreProperties>
</file>