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DB" w:rsidRPr="0052480E" w:rsidRDefault="00B120DB" w:rsidP="00EC2090">
      <w:pPr>
        <w:pStyle w:val="ConsPlusNormal"/>
        <w:jc w:val="right"/>
        <w:rPr>
          <w:sz w:val="22"/>
          <w:szCs w:val="22"/>
        </w:rPr>
      </w:pPr>
      <w:r w:rsidRPr="0052480E">
        <w:rPr>
          <w:sz w:val="22"/>
          <w:szCs w:val="22"/>
        </w:rPr>
        <w:t>Утверждаю</w:t>
      </w:r>
    </w:p>
    <w:p w:rsidR="00B120DB" w:rsidRPr="0052480E" w:rsidRDefault="00B120DB" w:rsidP="00EC2090">
      <w:pPr>
        <w:pStyle w:val="ConsPlusNormal"/>
        <w:jc w:val="right"/>
        <w:rPr>
          <w:sz w:val="22"/>
          <w:szCs w:val="22"/>
        </w:rPr>
      </w:pPr>
      <w:r w:rsidRPr="0052480E">
        <w:rPr>
          <w:sz w:val="22"/>
          <w:szCs w:val="22"/>
        </w:rPr>
        <w:t>Министр транспорта</w:t>
      </w:r>
    </w:p>
    <w:p w:rsidR="00B120DB" w:rsidRPr="0052480E" w:rsidRDefault="00B120DB" w:rsidP="00EC2090">
      <w:pPr>
        <w:pStyle w:val="ConsPlusNormal"/>
        <w:jc w:val="right"/>
        <w:rPr>
          <w:sz w:val="22"/>
          <w:szCs w:val="22"/>
        </w:rPr>
      </w:pPr>
      <w:r w:rsidRPr="0052480E">
        <w:rPr>
          <w:sz w:val="22"/>
          <w:szCs w:val="22"/>
        </w:rPr>
        <w:t>Российской Федерации</w:t>
      </w:r>
    </w:p>
    <w:p w:rsidR="00B120DB" w:rsidRPr="0052480E" w:rsidRDefault="00B120DB" w:rsidP="00EC2090">
      <w:pPr>
        <w:pStyle w:val="ConsPlusNormal"/>
        <w:jc w:val="right"/>
        <w:rPr>
          <w:sz w:val="22"/>
          <w:szCs w:val="22"/>
        </w:rPr>
      </w:pPr>
      <w:r w:rsidRPr="0052480E">
        <w:rPr>
          <w:sz w:val="22"/>
          <w:szCs w:val="22"/>
        </w:rPr>
        <w:t>М.Ю.СОКОЛОВ</w:t>
      </w:r>
    </w:p>
    <w:p w:rsidR="00B120DB" w:rsidRPr="0052480E" w:rsidRDefault="00B120DB" w:rsidP="00EC2090">
      <w:pPr>
        <w:pStyle w:val="ConsPlusNormal"/>
        <w:jc w:val="right"/>
        <w:rPr>
          <w:sz w:val="22"/>
          <w:szCs w:val="22"/>
        </w:rPr>
      </w:pPr>
      <w:r w:rsidRPr="0052480E">
        <w:rPr>
          <w:sz w:val="22"/>
          <w:szCs w:val="22"/>
        </w:rPr>
        <w:t xml:space="preserve">29 июля </w:t>
      </w:r>
      <w:smartTag w:uri="urn:schemas-microsoft-com:office:smarttags" w:element="metricconverter">
        <w:smartTagPr>
          <w:attr w:name="ProductID" w:val="2015 г"/>
        </w:smartTagPr>
        <w:r w:rsidRPr="0052480E">
          <w:rPr>
            <w:sz w:val="22"/>
            <w:szCs w:val="22"/>
          </w:rPr>
          <w:t>2015 г</w:t>
        </w:r>
      </w:smartTag>
      <w:r w:rsidRPr="0052480E">
        <w:rPr>
          <w:sz w:val="22"/>
          <w:szCs w:val="22"/>
        </w:rPr>
        <w:t>.</w:t>
      </w:r>
    </w:p>
    <w:p w:rsidR="00B120DB" w:rsidRPr="0052480E" w:rsidRDefault="00B120DB" w:rsidP="00EC2090">
      <w:pPr>
        <w:pStyle w:val="ConsPlusNormal"/>
        <w:jc w:val="both"/>
        <w:rPr>
          <w:sz w:val="22"/>
          <w:szCs w:val="22"/>
        </w:rPr>
      </w:pPr>
    </w:p>
    <w:p w:rsidR="00B120DB" w:rsidRPr="00EC2090" w:rsidRDefault="00B120DB" w:rsidP="00EC2090">
      <w:pPr>
        <w:pStyle w:val="ConsPlusNormal"/>
        <w:jc w:val="center"/>
        <w:rPr>
          <w:b/>
          <w:bCs/>
          <w:sz w:val="22"/>
          <w:szCs w:val="22"/>
        </w:rPr>
      </w:pPr>
      <w:r w:rsidRPr="00EC2090">
        <w:rPr>
          <w:b/>
          <w:bCs/>
          <w:sz w:val="22"/>
          <w:szCs w:val="22"/>
        </w:rPr>
        <w:t>ВЕДОМСТВЕННЫЙ ПЕРЕЧЕНЬ</w:t>
      </w:r>
    </w:p>
    <w:p w:rsidR="00B120DB" w:rsidRPr="00EC2090" w:rsidRDefault="00B120DB" w:rsidP="00EC2090">
      <w:pPr>
        <w:pStyle w:val="ConsPlusNormal"/>
        <w:jc w:val="center"/>
        <w:rPr>
          <w:b/>
          <w:bCs/>
          <w:sz w:val="22"/>
          <w:szCs w:val="22"/>
        </w:rPr>
      </w:pPr>
      <w:r w:rsidRPr="00EC2090">
        <w:rPr>
          <w:b/>
          <w:bCs/>
          <w:sz w:val="22"/>
          <w:szCs w:val="22"/>
        </w:rPr>
        <w:t>ГОСУДАРСТВЕННЫХ УСЛУГ (РАБОТ), ОКАЗЫВАЕМЫХ (ВЫПОЛНЯЕМЫХ)</w:t>
      </w:r>
    </w:p>
    <w:p w:rsidR="00B120DB" w:rsidRPr="00EC2090" w:rsidRDefault="00B120DB" w:rsidP="00EC2090">
      <w:pPr>
        <w:pStyle w:val="ConsPlusNormal"/>
        <w:jc w:val="center"/>
        <w:rPr>
          <w:b/>
          <w:bCs/>
          <w:sz w:val="22"/>
          <w:szCs w:val="22"/>
        </w:rPr>
      </w:pPr>
      <w:r w:rsidRPr="00EC2090">
        <w:rPr>
          <w:b/>
          <w:bCs/>
          <w:sz w:val="22"/>
          <w:szCs w:val="22"/>
        </w:rPr>
        <w:t>НАХОДЯЩИМИСЯ В ВЕДЕНИИ МИНИСТЕРСТВА ТРАНСПОРТА РОССИЙСКОЙ</w:t>
      </w:r>
    </w:p>
    <w:p w:rsidR="00B120DB" w:rsidRPr="00EC2090" w:rsidRDefault="00B120DB" w:rsidP="00EC2090">
      <w:pPr>
        <w:pStyle w:val="ConsPlusNormal"/>
        <w:jc w:val="center"/>
        <w:rPr>
          <w:b/>
          <w:bCs/>
          <w:sz w:val="22"/>
          <w:szCs w:val="22"/>
        </w:rPr>
      </w:pPr>
      <w:r w:rsidRPr="00EC2090">
        <w:rPr>
          <w:b/>
          <w:bCs/>
          <w:sz w:val="22"/>
          <w:szCs w:val="22"/>
        </w:rPr>
        <w:t>ФЕДЕРАЦИИ ФЕДЕРАЛЬНЫМИ ГОСУДАРСТВЕННЫМИ УЧРЕЖДЕНИЯМИ,</w:t>
      </w:r>
    </w:p>
    <w:p w:rsidR="00B120DB" w:rsidRPr="00EC2090" w:rsidRDefault="00B120DB" w:rsidP="00EC2090">
      <w:pPr>
        <w:pStyle w:val="ConsPlusNormal"/>
        <w:jc w:val="center"/>
        <w:rPr>
          <w:b/>
          <w:bCs/>
          <w:sz w:val="22"/>
          <w:szCs w:val="22"/>
        </w:rPr>
      </w:pPr>
      <w:r w:rsidRPr="00EC2090">
        <w:rPr>
          <w:b/>
          <w:bCs/>
          <w:sz w:val="22"/>
          <w:szCs w:val="22"/>
        </w:rPr>
        <w:t xml:space="preserve">В КАЧЕСТВЕ ОСНОВНЫХ ВИДОВ ДЕЯТЕЛЬНОСТИ </w:t>
      </w:r>
      <w:hyperlink w:anchor="Par133" w:tooltip="Ссылка на текущий документ" w:history="1">
        <w:r w:rsidRPr="00EC2090">
          <w:rPr>
            <w:b/>
            <w:bCs/>
            <w:sz w:val="22"/>
            <w:szCs w:val="22"/>
          </w:rPr>
          <w:t>&lt;*&gt;</w:t>
        </w:r>
      </w:hyperlink>
    </w:p>
    <w:p w:rsidR="00B120DB" w:rsidRPr="0052480E" w:rsidRDefault="00B120DB" w:rsidP="00EC2090">
      <w:pPr>
        <w:pStyle w:val="ConsPlusNormal"/>
        <w:jc w:val="both"/>
        <w:rPr>
          <w:sz w:val="22"/>
          <w:szCs w:val="22"/>
        </w:rPr>
      </w:pPr>
    </w:p>
    <w:tbl>
      <w:tblPr>
        <w:tblW w:w="0" w:type="auto"/>
        <w:jc w:val="center"/>
        <w:tblLayout w:type="fixed"/>
        <w:tblCellMar>
          <w:top w:w="75" w:type="dxa"/>
          <w:left w:w="0" w:type="dxa"/>
          <w:bottom w:w="75" w:type="dxa"/>
          <w:right w:w="0" w:type="dxa"/>
        </w:tblCellMar>
        <w:tblLook w:val="0000"/>
      </w:tblPr>
      <w:tblGrid>
        <w:gridCol w:w="397"/>
        <w:gridCol w:w="3918"/>
        <w:gridCol w:w="283"/>
        <w:gridCol w:w="2410"/>
        <w:gridCol w:w="1985"/>
        <w:gridCol w:w="2126"/>
        <w:gridCol w:w="3260"/>
      </w:tblGrid>
      <w:tr w:rsidR="00B120DB" w:rsidRPr="0052480E" w:rsidTr="00EC2090">
        <w:trPr>
          <w:jc w:val="center"/>
        </w:trPr>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r w:rsidRPr="00EC2090">
              <w:t>N п/п</w:t>
            </w:r>
          </w:p>
        </w:tc>
        <w:tc>
          <w:tcPr>
            <w:tcW w:w="42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center"/>
            </w:pPr>
            <w:r w:rsidRPr="00EC2090">
              <w:t>Наименование государственной услуги (работы)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center"/>
            </w:pPr>
            <w:r w:rsidRPr="00EC2090">
              <w:t>Категории потребителей государственной услуги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center"/>
            </w:pPr>
            <w:r w:rsidRPr="00EC2090">
              <w:t>Единицы измерения показателей объема (содержания) государственной услуги (работы)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center"/>
            </w:pPr>
            <w:r w:rsidRPr="00EC2090">
              <w:t>Показатели, характеризующие качество государственной услуги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center"/>
            </w:pPr>
            <w:r w:rsidRPr="00EC2090">
              <w:t>Наименование федеральных государственных учреждений (групп учреждений, оказывающих государственную услугу (выполняющих работу)</w:t>
            </w:r>
          </w:p>
        </w:tc>
      </w:tr>
      <w:tr w:rsidR="00B120DB" w:rsidRPr="0052480E" w:rsidTr="00EC2090">
        <w:trPr>
          <w:jc w:val="center"/>
        </w:trPr>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r w:rsidRPr="00EC2090">
              <w:t>1</w:t>
            </w:r>
          </w:p>
        </w:tc>
        <w:tc>
          <w:tcPr>
            <w:tcW w:w="42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 xml:space="preserve">Выдача судовых документов, предусмотренных пунктом 2 статьи 24 и подпунктами 3 - 6, 13 пункта 1 статьи 25 Федерального закона от 30 апреля </w:t>
            </w:r>
            <w:smartTag w:uri="urn:schemas-microsoft-com:office:smarttags" w:element="metricconverter">
              <w:smartTagPr>
                <w:attr w:name="ProductID" w:val="1999 г"/>
              </w:smartTagPr>
              <w:r w:rsidRPr="00EC2090">
                <w:t>1999 г</w:t>
              </w:r>
            </w:smartTag>
            <w:r w:rsidRPr="00EC2090">
              <w:t>. N 81-ФЗ "Кодекс торгового мореплавания Российской Федерации" (для судов, подлежащих государственной регистрации, за исключением спортивных парусных судов, прогулочных судов и маломерных судов):</w:t>
            </w:r>
          </w:p>
          <w:p w:rsidR="00B120DB" w:rsidRPr="00EC2090" w:rsidRDefault="00B120DB" w:rsidP="00EC2090">
            <w:pPr>
              <w:pStyle w:val="ConsPlusNormal"/>
              <w:ind w:left="113" w:right="113"/>
              <w:jc w:val="both"/>
            </w:pPr>
            <w:r w:rsidRPr="00EC2090">
              <w:t>1) классификационного свидетельства;</w:t>
            </w:r>
          </w:p>
          <w:p w:rsidR="00B120DB" w:rsidRPr="00EC2090" w:rsidRDefault="00B120DB" w:rsidP="00EC2090">
            <w:pPr>
              <w:pStyle w:val="ConsPlusNormal"/>
              <w:ind w:left="113" w:right="113"/>
              <w:jc w:val="both"/>
            </w:pPr>
            <w:r w:rsidRPr="00EC2090">
              <w:t>2) пассажирского свидетельства (для пассажирского судна);</w:t>
            </w:r>
          </w:p>
          <w:p w:rsidR="00B120DB" w:rsidRPr="00EC2090" w:rsidRDefault="00B120DB" w:rsidP="00EC2090">
            <w:pPr>
              <w:pStyle w:val="ConsPlusNormal"/>
              <w:ind w:left="113" w:right="113"/>
              <w:jc w:val="both"/>
            </w:pPr>
            <w:r w:rsidRPr="00EC2090">
              <w:t>3) мерительного свидетельства;</w:t>
            </w:r>
          </w:p>
          <w:p w:rsidR="00B120DB" w:rsidRPr="00EC2090" w:rsidRDefault="00B120DB" w:rsidP="00EC2090">
            <w:pPr>
              <w:pStyle w:val="ConsPlusNormal"/>
              <w:ind w:left="113" w:right="113"/>
              <w:jc w:val="both"/>
            </w:pPr>
            <w:r w:rsidRPr="00EC2090">
              <w:t>4) свидетельства о грузовой марке;</w:t>
            </w:r>
          </w:p>
          <w:p w:rsidR="00B120DB" w:rsidRPr="00EC2090" w:rsidRDefault="00B120DB" w:rsidP="00EC2090">
            <w:pPr>
              <w:pStyle w:val="ConsPlusNormal"/>
              <w:ind w:left="113" w:right="113"/>
              <w:jc w:val="both"/>
            </w:pPr>
            <w:r w:rsidRPr="00EC2090">
              <w:t>5) свидетельства о предотвращении загрязнений нефтью;</w:t>
            </w:r>
          </w:p>
          <w:p w:rsidR="00B120DB" w:rsidRPr="00EC2090" w:rsidRDefault="00B120DB" w:rsidP="00EC2090">
            <w:pPr>
              <w:pStyle w:val="ConsPlusNormal"/>
              <w:ind w:left="113" w:right="113"/>
              <w:jc w:val="both"/>
            </w:pPr>
            <w:r w:rsidRPr="00EC2090">
              <w:t>6) иных судовых документов, предусмотренных международными договорами Российской Федерации, законами и иными правовыми актами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выданных судовых документов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автономное учреждение "Российский морской регистр судоходства"</w:t>
            </w:r>
          </w:p>
        </w:tc>
      </w:tr>
      <w:tr w:rsidR="00B120DB" w:rsidRPr="0052480E" w:rsidTr="00EC2090">
        <w:trPr>
          <w:jc w:val="center"/>
        </w:trPr>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r w:rsidRPr="00EC2090">
              <w:t>2</w:t>
            </w:r>
          </w:p>
        </w:tc>
        <w:tc>
          <w:tcPr>
            <w:tcW w:w="42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 xml:space="preserve">Выдача судовых документов, предусмотренных подпунктами 3, 8, 11, 12 пункта 1 статьи 14 Федерального закона от 7 марта </w:t>
            </w:r>
            <w:smartTag w:uri="urn:schemas-microsoft-com:office:smarttags" w:element="metricconverter">
              <w:smartTagPr>
                <w:attr w:name="ProductID" w:val="2001 г"/>
              </w:smartTagPr>
              <w:r w:rsidRPr="00EC2090">
                <w:t>2001 г</w:t>
              </w:r>
            </w:smartTag>
            <w:r w:rsidRPr="00EC2090">
              <w:t>. N 24-ФЗ "Кодекс внутреннего водного транспорта Российской Федерации" (для судов, подлежащих государственной регистрации, за исключением спортивных парусных судов, прогулочных судов и маломерных судов):</w:t>
            </w:r>
          </w:p>
          <w:p w:rsidR="00B120DB" w:rsidRPr="00EC2090" w:rsidRDefault="00B120DB" w:rsidP="00EC2090">
            <w:pPr>
              <w:pStyle w:val="ConsPlusNormal"/>
              <w:ind w:left="113" w:right="113"/>
              <w:jc w:val="both"/>
            </w:pPr>
            <w:r w:rsidRPr="00EC2090">
              <w:t>1) свидетельства о годности судна к плаванию;</w:t>
            </w:r>
          </w:p>
          <w:p w:rsidR="00B120DB" w:rsidRPr="00EC2090" w:rsidRDefault="00B120DB" w:rsidP="00EC2090">
            <w:pPr>
              <w:pStyle w:val="ConsPlusNormal"/>
              <w:ind w:left="113" w:right="113"/>
              <w:jc w:val="both"/>
            </w:pPr>
            <w:r w:rsidRPr="00EC2090">
              <w:t>2) свидетельства от предотвращения загрязнения с судна нефтью, сточными водами и мусором;</w:t>
            </w:r>
          </w:p>
          <w:p w:rsidR="00B120DB" w:rsidRPr="00EC2090" w:rsidRDefault="00B120DB" w:rsidP="00EC2090">
            <w:pPr>
              <w:pStyle w:val="ConsPlusNormal"/>
              <w:ind w:left="113" w:right="113"/>
              <w:jc w:val="both"/>
            </w:pPr>
            <w:r w:rsidRPr="00EC2090">
              <w:t>3) свидетельства о классификации;</w:t>
            </w:r>
          </w:p>
          <w:p w:rsidR="00B120DB" w:rsidRPr="00EC2090" w:rsidRDefault="00B120DB" w:rsidP="00EC2090">
            <w:pPr>
              <w:pStyle w:val="ConsPlusNormal"/>
              <w:ind w:left="113" w:right="113"/>
              <w:jc w:val="both"/>
            </w:pPr>
            <w:r w:rsidRPr="00EC2090">
              <w:t>4) мерительного свидетельства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выданных судовых документов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автономное учреждение "Российский Речной Регистр"</w:t>
            </w:r>
          </w:p>
        </w:tc>
      </w:tr>
      <w:tr w:rsidR="00B120DB" w:rsidRPr="0052480E" w:rsidTr="00EC2090">
        <w:trPr>
          <w:jc w:val="center"/>
        </w:trPr>
        <w:tc>
          <w:tcPr>
            <w:tcW w:w="397"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r w:rsidRPr="00EC2090">
              <w:t>3</w:t>
            </w:r>
          </w:p>
        </w:tc>
        <w:tc>
          <w:tcPr>
            <w:tcW w:w="13982"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Работы по:</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1) ведению реестра маршрутов регулярных перевозок пассажиров автобусами по международным маршрутам</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firstLine="284"/>
              <w:jc w:val="both"/>
            </w:pPr>
            <w:r w:rsidRPr="00EC2090">
              <w:t>Количество подготовленных комплектов документов для рассмотрения на заседаниях Комиссии по рассмотрению материалов о функционировании регулярных перевозок пассажиров автобусами в международном сообщении</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2) оценке соответствия заявленных контрольных устройств (его компонентов) или регистрационных листков, или карточек (карт), используемых в цифровых контрольных устройствах, требованиям ЕСТР;</w:t>
            </w:r>
          </w:p>
          <w:p w:rsidR="00B120DB" w:rsidRPr="00EC2090" w:rsidRDefault="00B120DB" w:rsidP="00EC2090">
            <w:pPr>
              <w:pStyle w:val="ConsPlusNormal"/>
              <w:ind w:left="113" w:right="113"/>
              <w:jc w:val="both"/>
            </w:pPr>
            <w:r w:rsidRPr="00EC2090">
              <w:t>внесению информации в реестр выданных официальных утверждений типа контрольного устройства (его компонентов), регистрационных листков, карточек (карт), используемых в цифровых контрольных устройствах;</w:t>
            </w:r>
          </w:p>
          <w:p w:rsidR="00B120DB" w:rsidRPr="00EC2090" w:rsidRDefault="00B120DB" w:rsidP="00EC2090">
            <w:pPr>
              <w:pStyle w:val="ConsPlusNormal"/>
              <w:ind w:left="113" w:right="113"/>
              <w:jc w:val="both"/>
            </w:pPr>
            <w:r w:rsidRPr="00EC2090">
              <w:t>ведению реестра выданных карточек (карт), используемых в цифровых контрольных устройствах, устанавливаемых на транспортных средствах</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внесенной в реестры информации, отражающей содержание утверждения типа контрольного устройства (его компонентов), регистрационных листков, карточек (карт), используемых в цифровых контрольных устройствах, отражающей содержание карточек (карт), используемых в цифровых контрольных устройствах, устанавливаемых на транспортных средствах</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3) проведению проверки наличия всех необходимых документов или их копий, подтверждающих возможность выполнения заявителем работ по установке, проверке техническому обслуживанию и ремонту контрольных устройств, устанавливаемых на транспортных средствах, в соответствии с требованиями, а также достоверности предоставляемой информации;</w:t>
            </w:r>
          </w:p>
          <w:p w:rsidR="00B120DB" w:rsidRPr="00EC2090" w:rsidRDefault="00B120DB" w:rsidP="00EC2090">
            <w:pPr>
              <w:pStyle w:val="ConsPlusNormal"/>
              <w:ind w:left="113" w:right="113"/>
              <w:jc w:val="both"/>
            </w:pPr>
            <w:r w:rsidRPr="00EC2090">
              <w:t>внесению информации в реестр допущенных сервисных центров (мастерских), осуществляющих деятельность по установке, проверке, техническому обслуживанию и ремонту контрольных устройств, устанавливаемых на транспортных средствах</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рассмотренных заявлений о получении допуска к деятельности по установке, проверке, техническому обслуживанию и ремонту контрольных устройств, устанавливаемых на транспортных средствах</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4) ведению перечня сведений о моделях тахографов и учету сведений о каждом экземпляре переданного, активизированного, утилизированного организациями-изготовителями и мастерскими тахографа, устанавливаемого на транспортные средства, эксплуатируемые на территории Российской Федерации</w:t>
            </w:r>
          </w:p>
        </w:tc>
        <w:tc>
          <w:tcPr>
            <w:tcW w:w="269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w:t>
            </w: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сведений о тахографах</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5) ведению перечня и сведений о моделях блоков СКЗИ тахографа и учету сведений о каждом экземпляре переданного, активизированного, утилизированного организациями-изготовителями и мастерскими блоков СКЗИ тахографа, устанавливаемого на транспортные средства, эксплуатируемые на территории Российской Федерации</w:t>
            </w:r>
          </w:p>
        </w:tc>
        <w:tc>
          <w:tcPr>
            <w:tcW w:w="269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сведений о блоках СКЗИ тахографа</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6) ведению перечня сведений о моделях карт тахографа и учету сведений о каждом экземпляре переданных, активизированных, утилизированных организациями-изготовителями и мастерскими карт тахографа, устанавливаемого на транспортные средства, эксплуатируемые на территории Российской Федерации</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сведений о картах тахографа</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7) ведению перечня мастерских, осуществляющих деятельность по установке, проверке, техническому обслуживанию и ремонту тахографов, устанавливаемых на транспортные средства, эксплуатируемые на территории Российской Федерации</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рассмотренных заявлений мастерских об учете сведений о мастерской в перечне</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8) организации приема, учета и регистрации заявлений о выдаче, замене, обновлении карт, передачи карт (за исключением карт контролеров)</w:t>
            </w:r>
          </w:p>
        </w:tc>
        <w:tc>
          <w:tcPr>
            <w:tcW w:w="269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w:t>
            </w: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принятых заявлений о выдаче, замене, обновлении карт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9) организации информационного обмена при выпуске, передаче и активизации блоков СКЗИ тахографа, выпуске и передаче карт</w:t>
            </w:r>
          </w:p>
        </w:tc>
        <w:tc>
          <w:tcPr>
            <w:tcW w:w="269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или индивидуальные предприниматели</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обработанных информационных сообщений</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10) ведению сводного реестра сдавших экзамены водителей, осуществляющих перевозку опасных грузов</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 индивидуальные предприниматели или физические лица</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водителей, внесенных в реестр</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11) ведению сводного реестра протоколов заседаний экзаменационных комиссий в федеральных округах и территориальных экзаменационных комиссий по проверке и оценке необходимых знаний водителей автотранспортных средств, перевозящих опасные грузы</w:t>
            </w:r>
          </w:p>
        </w:tc>
        <w:tc>
          <w:tcPr>
            <w:tcW w:w="2693" w:type="dxa"/>
            <w:gridSpan w:val="2"/>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w:t>
            </w:r>
          </w:p>
        </w:tc>
        <w:tc>
          <w:tcPr>
            <w:tcW w:w="1985"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протоколов, рассмотренных для внесения в реестр</w:t>
            </w:r>
          </w:p>
        </w:tc>
        <w:tc>
          <w:tcPr>
            <w:tcW w:w="2126"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бюджетное учреждение "Агентство автомобильного транспорта"</w:t>
            </w:r>
          </w:p>
        </w:tc>
      </w:tr>
      <w:tr w:rsidR="00B120DB" w:rsidRPr="0052480E" w:rsidTr="00EC2090">
        <w:trPr>
          <w:jc w:val="center"/>
        </w:trPr>
        <w:tc>
          <w:tcPr>
            <w:tcW w:w="397"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12) разработке и актуализации отраслевых сметных нормативов, применяемых при проведении работ по ремонту и содержанию автомобильных дорог общего пользования и дорожных сооружений, являющихся их технологической частью</w:t>
            </w:r>
          </w:p>
        </w:tc>
        <w:tc>
          <w:tcPr>
            <w:tcW w:w="269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Юридические лица;</w:t>
            </w:r>
          </w:p>
          <w:p w:rsidR="00B120DB" w:rsidRPr="00EC2090" w:rsidRDefault="00B120DB" w:rsidP="00EC2090">
            <w:pPr>
              <w:pStyle w:val="ConsPlusNormal"/>
              <w:ind w:left="113" w:right="113"/>
              <w:jc w:val="both"/>
            </w:pPr>
            <w:r w:rsidRPr="00EC2090">
              <w:t>физические лица</w:t>
            </w: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разработанных и утвержденных в соответствии с законодательством Российской Федерации сметных нормативов</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государственное бюджетное учреждение "Российский дорожный научно-исследовательский институт"</w:t>
            </w:r>
          </w:p>
        </w:tc>
      </w:tr>
      <w:tr w:rsidR="00B120DB" w:rsidRPr="0052480E" w:rsidTr="00EC2090">
        <w:trPr>
          <w:jc w:val="center"/>
        </w:trPr>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jc w:val="center"/>
            </w:pPr>
          </w:p>
        </w:tc>
        <w:tc>
          <w:tcPr>
            <w:tcW w:w="3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13) сопровождению реализации Транспортной стратегии Российской Федерации на период до 2030 года</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Федеральные органы исполнительной власти;</w:t>
            </w:r>
          </w:p>
          <w:p w:rsidR="00B120DB" w:rsidRPr="00EC2090" w:rsidRDefault="00B120DB" w:rsidP="00EC2090">
            <w:pPr>
              <w:pStyle w:val="ConsPlusNormal"/>
              <w:ind w:left="113" w:right="113"/>
              <w:jc w:val="both"/>
            </w:pPr>
            <w:r w:rsidRPr="00EC2090">
              <w:t>Юридические лица;</w:t>
            </w:r>
          </w:p>
          <w:p w:rsidR="00B120DB" w:rsidRPr="00EC2090" w:rsidRDefault="00B120DB" w:rsidP="00EC2090">
            <w:pPr>
              <w:pStyle w:val="ConsPlusNormal"/>
              <w:ind w:left="113" w:right="113"/>
              <w:jc w:val="both"/>
            </w:pPr>
            <w:r w:rsidRPr="00EC2090">
              <w:t>Физические лица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Количество отчетов о мониторинге реализации Транспортной стратегии Российской Федерации на период до 2030 года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0DB" w:rsidRPr="00EC2090" w:rsidRDefault="00B120DB" w:rsidP="00EC2090">
            <w:pPr>
              <w:pStyle w:val="ConsPlusNormal"/>
              <w:ind w:left="113" w:right="113"/>
              <w:jc w:val="both"/>
            </w:pPr>
            <w:r w:rsidRPr="00EC2090">
              <w:t>Федеральное государственное бюджетное учреждение "Научный центр по комплексным транспортным проблемам Министерства транспорта Российской Федерации"</w:t>
            </w:r>
          </w:p>
        </w:tc>
      </w:tr>
    </w:tbl>
    <w:p w:rsidR="00B120DB" w:rsidRPr="0052480E" w:rsidRDefault="00B120DB" w:rsidP="00EC2090">
      <w:pPr>
        <w:pStyle w:val="ConsPlusNormal"/>
        <w:jc w:val="both"/>
        <w:rPr>
          <w:sz w:val="22"/>
          <w:szCs w:val="22"/>
        </w:rPr>
      </w:pPr>
    </w:p>
    <w:p w:rsidR="00B120DB" w:rsidRPr="0052480E" w:rsidRDefault="00B120DB" w:rsidP="00EC2090">
      <w:pPr>
        <w:pStyle w:val="ConsPlusNormal"/>
        <w:ind w:firstLine="540"/>
        <w:jc w:val="both"/>
        <w:rPr>
          <w:sz w:val="22"/>
          <w:szCs w:val="22"/>
        </w:rPr>
      </w:pPr>
      <w:r w:rsidRPr="0052480E">
        <w:rPr>
          <w:sz w:val="22"/>
          <w:szCs w:val="22"/>
        </w:rPr>
        <w:t>--------------------------------</w:t>
      </w:r>
    </w:p>
    <w:p w:rsidR="00B120DB" w:rsidRPr="00EC2090" w:rsidRDefault="00B120DB" w:rsidP="00EC2090">
      <w:pPr>
        <w:pStyle w:val="ConsPlusNormal"/>
        <w:ind w:firstLine="540"/>
        <w:jc w:val="both"/>
      </w:pPr>
      <w:bookmarkStart w:id="0" w:name="Par133"/>
      <w:bookmarkEnd w:id="0"/>
      <w:r w:rsidRPr="00EC2090">
        <w:t>&lt;*&gt; Признать утратившим силу Ведомственный перечень государственных услуг (работ), оказываемых (выполняемых) находящимися в ведении Министерства транспорта Российской Федерации федеральными государственными учреждениями, в качестве основных видов деятельности, утвержденный Министром транспорта Российской Федерации М.Ю. Соколовым 17 декабря 2014 г.</w:t>
      </w:r>
    </w:p>
    <w:p w:rsidR="00B120DB" w:rsidRPr="0052480E" w:rsidRDefault="00B120DB" w:rsidP="00EC2090">
      <w:pPr>
        <w:pStyle w:val="ConsPlusNormal"/>
        <w:jc w:val="both"/>
        <w:rPr>
          <w:sz w:val="22"/>
          <w:szCs w:val="22"/>
        </w:rPr>
      </w:pPr>
    </w:p>
    <w:p w:rsidR="00B120DB" w:rsidRDefault="00B120DB" w:rsidP="006D6D97"/>
    <w:p w:rsidR="00B120DB" w:rsidRDefault="00B120DB" w:rsidP="006D6D97"/>
    <w:sectPr w:rsidR="00B120DB" w:rsidSect="00EC2090">
      <w:headerReference w:type="default" r:id="rId6"/>
      <w:footerReference w:type="default" r:id="rId7"/>
      <w:pgSz w:w="16838" w:h="11906" w:orient="landscape"/>
      <w:pgMar w:top="1418" w:right="851"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DB" w:rsidRDefault="00B120DB">
      <w:r>
        <w:separator/>
      </w:r>
    </w:p>
  </w:endnote>
  <w:endnote w:type="continuationSeparator" w:id="0">
    <w:p w:rsidR="00B120DB" w:rsidRDefault="00B12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DB" w:rsidRDefault="00B120DB" w:rsidP="00DF5729">
    <w:pPr>
      <w:jc w:val="center"/>
      <w:rPr>
        <w:sz w:val="2"/>
        <w:szCs w:val="2"/>
      </w:rPr>
    </w:pPr>
  </w:p>
  <w:p w:rsidR="00B120DB" w:rsidRDefault="00B120D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DB" w:rsidRDefault="00B120DB">
      <w:r>
        <w:separator/>
      </w:r>
    </w:p>
  </w:footnote>
  <w:footnote w:type="continuationSeparator" w:id="0">
    <w:p w:rsidR="00B120DB" w:rsidRDefault="00B12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DB" w:rsidRDefault="00B120DB" w:rsidP="00DF5729">
    <w:pPr>
      <w:jc w:val="center"/>
      <w:rPr>
        <w:sz w:val="2"/>
        <w:szCs w:val="2"/>
      </w:rPr>
    </w:pPr>
  </w:p>
  <w:p w:rsidR="00B120DB" w:rsidRDefault="00B120DB">
    <w:r>
      <w:rPr>
        <w:noProof/>
      </w:rPr>
      <w:pict>
        <v:group id="_x0000_s2049" style="position:absolute;margin-left:136.55pt;margin-top:4.0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120DB" w:rsidRPr="002A36C4" w:rsidRDefault="00B120D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120DB" w:rsidRPr="002A36C4" w:rsidRDefault="00B120D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120DB" w:rsidRDefault="00B120D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52480E"/>
    <w:rsid w:val="00616E37"/>
    <w:rsid w:val="006A34F6"/>
    <w:rsid w:val="006C2CAC"/>
    <w:rsid w:val="006D6D97"/>
    <w:rsid w:val="00706E08"/>
    <w:rsid w:val="008A40F2"/>
    <w:rsid w:val="00B120DB"/>
    <w:rsid w:val="00CA5FB3"/>
    <w:rsid w:val="00DF5729"/>
    <w:rsid w:val="00EC2090"/>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E140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E140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E140B"/>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12164572">
      <w:marLeft w:val="0"/>
      <w:marRight w:val="0"/>
      <w:marTop w:val="0"/>
      <w:marBottom w:val="0"/>
      <w:divBdr>
        <w:top w:val="none" w:sz="0" w:space="0" w:color="auto"/>
        <w:left w:val="none" w:sz="0" w:space="0" w:color="auto"/>
        <w:bottom w:val="none" w:sz="0" w:space="0" w:color="auto"/>
        <w:right w:val="none" w:sz="0" w:space="0" w:color="auto"/>
      </w:divBdr>
    </w:div>
    <w:div w:id="412164573">
      <w:marLeft w:val="0"/>
      <w:marRight w:val="0"/>
      <w:marTop w:val="0"/>
      <w:marBottom w:val="0"/>
      <w:divBdr>
        <w:top w:val="none" w:sz="0" w:space="0" w:color="auto"/>
        <w:left w:val="none" w:sz="0" w:space="0" w:color="auto"/>
        <w:bottom w:val="none" w:sz="0" w:space="0" w:color="auto"/>
        <w:right w:val="none" w:sz="0" w:space="0" w:color="auto"/>
      </w:divBdr>
    </w:div>
    <w:div w:id="412164574">
      <w:marLeft w:val="0"/>
      <w:marRight w:val="0"/>
      <w:marTop w:val="0"/>
      <w:marBottom w:val="0"/>
      <w:divBdr>
        <w:top w:val="none" w:sz="0" w:space="0" w:color="auto"/>
        <w:left w:val="none" w:sz="0" w:space="0" w:color="auto"/>
        <w:bottom w:val="none" w:sz="0" w:space="0" w:color="auto"/>
        <w:right w:val="none" w:sz="0" w:space="0" w:color="auto"/>
      </w:divBdr>
    </w:div>
    <w:div w:id="412164575">
      <w:marLeft w:val="0"/>
      <w:marRight w:val="0"/>
      <w:marTop w:val="0"/>
      <w:marBottom w:val="0"/>
      <w:divBdr>
        <w:top w:val="none" w:sz="0" w:space="0" w:color="auto"/>
        <w:left w:val="none" w:sz="0" w:space="0" w:color="auto"/>
        <w:bottom w:val="none" w:sz="0" w:space="0" w:color="auto"/>
        <w:right w:val="none" w:sz="0" w:space="0" w:color="auto"/>
      </w:divBdr>
    </w:div>
    <w:div w:id="412164576">
      <w:marLeft w:val="0"/>
      <w:marRight w:val="0"/>
      <w:marTop w:val="0"/>
      <w:marBottom w:val="0"/>
      <w:divBdr>
        <w:top w:val="none" w:sz="0" w:space="0" w:color="auto"/>
        <w:left w:val="none" w:sz="0" w:space="0" w:color="auto"/>
        <w:bottom w:val="none" w:sz="0" w:space="0" w:color="auto"/>
        <w:right w:val="none" w:sz="0" w:space="0" w:color="auto"/>
      </w:divBdr>
    </w:div>
    <w:div w:id="412164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1326</Words>
  <Characters>7560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2015-09-18T11:29:00Z</dcterms:created>
  <dcterms:modified xsi:type="dcterms:W3CDTF">2015-09-18T11:29:00Z</dcterms:modified>
</cp:coreProperties>
</file>